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71" w:rsidRDefault="00006A71" w:rsidP="00006A7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1"/>
          <w:sz w:val="24"/>
          <w:szCs w:val="24"/>
        </w:rPr>
      </w:pPr>
      <w:proofErr w:type="spellStart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>Drejtoria</w:t>
      </w:r>
      <w:proofErr w:type="spellEnd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>Mbrojtjes</w:t>
      </w:r>
      <w:proofErr w:type="spellEnd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>Tokës</w:t>
      </w:r>
      <w:proofErr w:type="spellEnd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>Koordinimit</w:t>
      </w:r>
      <w:proofErr w:type="spellEnd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404041"/>
          <w:sz w:val="40"/>
          <w:szCs w:val="40"/>
          <w:shd w:val="clear" w:color="auto" w:fill="FFFFFF"/>
        </w:rPr>
        <w:t>Nj.A</w:t>
      </w:r>
      <w:proofErr w:type="spellEnd"/>
    </w:p>
    <w:p w:rsidR="00006A71" w:rsidRPr="00006A71" w:rsidRDefault="00006A71" w:rsidP="00006A71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Drejtoria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Mbrojtjes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Tokës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koordinimit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Njesitë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Administrative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sipas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detyrave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lëna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nga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Kryetari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Bashkisë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bazuar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ne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ndarjen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re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reformës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administrative-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territoriale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ligji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139/2015 “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vetë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qeverisjen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vendore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”, 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është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përgjegjëse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mirë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administrimin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çdo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çështje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lidhet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Njesitë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Administrative (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ish-Komunat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),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Mbrojtjen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Administrimin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Tokës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Bujqësore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Zhvillimin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Rural,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promovimin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Agro-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Biznesit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etj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… 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qëllim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 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arritjen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objektivave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përmbushjen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rezultateve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kërkuara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nga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kjo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drejtori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nëpërmjet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 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përdorimit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efiçent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efikas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burimeve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financiare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njerëzore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dispozicion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saj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.</w:t>
      </w:r>
    </w:p>
    <w:p w:rsidR="00006A71" w:rsidRPr="00006A71" w:rsidRDefault="00006A71" w:rsidP="00006A71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r w:rsidRPr="00006A71">
        <w:rPr>
          <w:rFonts w:ascii="Arial" w:eastAsia="Times New Roman" w:hAnsi="Arial" w:cs="Arial"/>
          <w:color w:val="404041"/>
          <w:sz w:val="27"/>
          <w:szCs w:val="27"/>
        </w:rPr>
        <w:t> </w:t>
      </w:r>
    </w:p>
    <w:p w:rsidR="00006A71" w:rsidRPr="00006A71" w:rsidRDefault="00006A71" w:rsidP="00006A7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>Drejtoria</w:t>
      </w:r>
      <w:proofErr w:type="spellEnd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>merret</w:t>
      </w:r>
      <w:proofErr w:type="spellEnd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>kryesisht</w:t>
      </w:r>
      <w:proofErr w:type="spellEnd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 xml:space="preserve"> me:</w:t>
      </w:r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 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Mbrojtejn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Tokës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Proçesin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aplikimin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qera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Caktimin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kufijve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Bujqësore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rrugeve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tyre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Nj.A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fshatra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mban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raport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periodik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Ministrinë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Bujqësisë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Qarkun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DAMT,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Njësitë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Administrative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dëmtimin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etj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…,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akseson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fermerët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skemat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mbështetëse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nga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Qeveria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donacione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tjera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Grante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nga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BE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IPARD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etj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…,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zhvillimin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Bujqësisë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jep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Njohuri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teknologjinë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mbarështrimit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Blegtorisë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kultivimit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kulturave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Bujqësore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orienton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fermerët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strukturat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mbjelljeve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kulturave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Bujqësore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funksion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Agro-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Turizmit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jep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asistencë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plotësimin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kritereve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përfitimin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fshatrave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turistikë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(Lin,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Tushemisht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Gurras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) (IPARD),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jep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asistencë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reklamimin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promovimin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vlerave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ekosistemeve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ujore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pyjore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zhvillimin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turizmit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vizitorëve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asiston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promovon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pikat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tregëtimit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nënprodukteve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blegtorisë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bujqësisë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(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gjalpi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djathi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qumështi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mishi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frutat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perimet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rrushit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kantinave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verërave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etj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),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jep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asistencë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ngritjen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Bujtinave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Staneve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tradicionale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zhvillimin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fshatrave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jep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asistencë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Verifikimin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ndjekjen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 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proçedurës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plotësimin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dokumentacionit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pajisjen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interesuarve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Çertifikatat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Pronësisë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sipas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 </w:t>
      </w:r>
      <w:r w:rsidRPr="00006A71">
        <w:rPr>
          <w:rFonts w:ascii="Times New Roman" w:eastAsia="Times New Roman" w:hAnsi="Times New Roman" w:cs="Times New Roman"/>
          <w:b/>
          <w:bCs/>
          <w:color w:val="404041"/>
          <w:sz w:val="20"/>
        </w:rPr>
        <w:t>AMTP</w:t>
      </w:r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-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/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Tapive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pranë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ASHK duke u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koordinuar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Njësinë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Administrative, </w:t>
      </w:r>
      <w:r w:rsidRPr="00006A71">
        <w:rPr>
          <w:rFonts w:ascii="Times New Roman" w:eastAsia="Times New Roman" w:hAnsi="Times New Roman" w:cs="Times New Roman"/>
          <w:b/>
          <w:bCs/>
          <w:color w:val="404041"/>
          <w:sz w:val="20"/>
        </w:rPr>
        <w:t>DAMT</w:t>
      </w:r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-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/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Kadastrën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ASHK.</w:t>
      </w:r>
    </w:p>
    <w:p w:rsidR="00006A71" w:rsidRPr="00006A71" w:rsidRDefault="00006A71" w:rsidP="00006A71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r w:rsidRPr="00006A71">
        <w:rPr>
          <w:rFonts w:ascii="Arial" w:eastAsia="Times New Roman" w:hAnsi="Arial" w:cs="Arial"/>
          <w:color w:val="404041"/>
          <w:sz w:val="27"/>
          <w:szCs w:val="27"/>
        </w:rPr>
        <w:t> </w:t>
      </w:r>
    </w:p>
    <w:p w:rsidR="00006A71" w:rsidRPr="00006A71" w:rsidRDefault="00006A71" w:rsidP="00006A7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>Baza</w:t>
      </w:r>
      <w:proofErr w:type="spellEnd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>Ligjore</w:t>
      </w:r>
      <w:proofErr w:type="spellEnd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 xml:space="preserve"> :</w:t>
      </w:r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 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Ligji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7501 “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tokën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”,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Ligji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139/2015 “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Vetëqeverisjen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Vendore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”,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Ligji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20/2020 “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tokën”</w:t>
      </w:r>
      <w:r w:rsidRPr="00006A71">
        <w:rPr>
          <w:rFonts w:ascii="Times New Roman" w:eastAsia="Times New Roman" w:hAnsi="Times New Roman" w:cs="Times New Roman"/>
          <w:b/>
          <w:bCs/>
          <w:color w:val="404041"/>
          <w:sz w:val="20"/>
        </w:rPr>
        <w:t>VKM</w:t>
      </w:r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-së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994 “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tokën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”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Ligji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9244 “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Mbrojtjen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Tokës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”,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Ligji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 8318 “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Tokat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Qera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”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etj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...</w:t>
      </w:r>
    </w:p>
    <w:p w:rsidR="00006A71" w:rsidRDefault="00006A71" w:rsidP="00006A71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</w:p>
    <w:p w:rsidR="00006A71" w:rsidRPr="00006A71" w:rsidRDefault="00006A71" w:rsidP="00006A71">
      <w:p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404041"/>
          <w:sz w:val="27"/>
          <w:szCs w:val="27"/>
        </w:rPr>
      </w:pPr>
      <w:proofErr w:type="spellStart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 xml:space="preserve"> </w:t>
      </w:r>
      <w:proofErr w:type="spellStart"/>
      <w:proofErr w:type="gramStart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>tjera</w:t>
      </w:r>
      <w:proofErr w:type="spellEnd"/>
      <w:r w:rsidRPr="00006A71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  <w:t xml:space="preserve"> :</w:t>
      </w:r>
      <w:proofErr w:type="gram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 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Gjithashtu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kjo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Drejtori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është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përgjegjëse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zbatimin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strategjive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politikave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planeve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fushës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përkatëse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gjithë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territorin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Bashkisë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sektorët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varësi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programet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veprimtaritë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proceset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menaxhohen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prej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saj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përputhje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parimet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ligjshmërisë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transparences (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pritje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me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qytetarët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Hënë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- e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Premte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,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ora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12</w:t>
      </w:r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  <w:bdr w:val="none" w:sz="0" w:space="0" w:color="auto" w:frame="1"/>
          <w:vertAlign w:val="superscript"/>
        </w:rPr>
        <w:t>00</w:t>
      </w:r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:14</w:t>
      </w:r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  <w:bdr w:val="none" w:sz="0" w:space="0" w:color="auto" w:frame="1"/>
          <w:vertAlign w:val="superscript"/>
        </w:rPr>
        <w:t>00</w:t>
      </w:r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 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dhe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verifikim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terren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të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cdo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problematike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nga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</w:t>
      </w:r>
      <w:proofErr w:type="spellStart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specialistet</w:t>
      </w:r>
      <w:proofErr w:type="spellEnd"/>
      <w:r w:rsidRPr="00006A71">
        <w:rPr>
          <w:rFonts w:ascii="Times New Roman" w:eastAsia="Times New Roman" w:hAnsi="Times New Roman" w:cs="Times New Roman"/>
          <w:color w:val="404041"/>
          <w:sz w:val="24"/>
          <w:szCs w:val="24"/>
        </w:rPr>
        <w:t>).</w:t>
      </w:r>
    </w:p>
    <w:p w:rsidR="002F4ACA" w:rsidRPr="00852725" w:rsidRDefault="002F4ACA">
      <w:pPr>
        <w:rPr>
          <w:lang w:val="sq-AL"/>
        </w:rPr>
      </w:pPr>
    </w:p>
    <w:sectPr w:rsidR="002F4ACA" w:rsidRPr="00852725" w:rsidSect="002F4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7BC5"/>
    <w:multiLevelType w:val="multilevel"/>
    <w:tmpl w:val="27DA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7344E"/>
    <w:multiLevelType w:val="multilevel"/>
    <w:tmpl w:val="BD5AC8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3CC0B8E"/>
    <w:multiLevelType w:val="multilevel"/>
    <w:tmpl w:val="EBA4B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16BD0"/>
    <w:multiLevelType w:val="multilevel"/>
    <w:tmpl w:val="44DE71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2F105A1"/>
    <w:multiLevelType w:val="multilevel"/>
    <w:tmpl w:val="2DCEC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737E7"/>
    <w:multiLevelType w:val="multilevel"/>
    <w:tmpl w:val="968878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852725"/>
    <w:rsid w:val="00006A71"/>
    <w:rsid w:val="002F4ACA"/>
    <w:rsid w:val="005E0B56"/>
    <w:rsid w:val="00852725"/>
    <w:rsid w:val="00BB16B7"/>
    <w:rsid w:val="00C844F5"/>
    <w:rsid w:val="00C86A3D"/>
    <w:rsid w:val="00D270A1"/>
    <w:rsid w:val="00F6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12E7"/>
    <w:rPr>
      <w:b/>
      <w:bCs/>
    </w:rPr>
  </w:style>
  <w:style w:type="character" w:styleId="Emphasis">
    <w:name w:val="Emphasis"/>
    <w:basedOn w:val="DefaultParagraphFont"/>
    <w:uiPriority w:val="20"/>
    <w:qFormat/>
    <w:rsid w:val="00BB16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Artin Halili</dc:creator>
  <cp:lastModifiedBy>Artin Halili</cp:lastModifiedBy>
  <cp:revision>2</cp:revision>
  <dcterms:created xsi:type="dcterms:W3CDTF">2021-09-29T13:04:00Z</dcterms:created>
  <dcterms:modified xsi:type="dcterms:W3CDTF">2021-09-29T13:04:00Z</dcterms:modified>
</cp:coreProperties>
</file>