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73" w:rsidRDefault="000D36B9" w:rsidP="000D36B9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E257E8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</w:p>
    <w:p w:rsidR="001A27F5" w:rsidRDefault="009B2ABF" w:rsidP="000D36B9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pict>
          <v:rect id="_x0000_s1028" style="position:absolute;left:0;text-align:left;margin-left:-12pt;margin-top:5.65pt;width:522pt;height:40.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0D36B9" w:rsidRPr="007B3951" w:rsidRDefault="000D36B9" w:rsidP="000D36B9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7B395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SHPALLJE P</w:t>
                  </w:r>
                  <w:r w:rsidRPr="007B39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ËR NËPUNËS CIVIL PËR LËVIZJE PARALELE DHE PRANIMIN NË SHËRBIMIN CIVIL </w:t>
                  </w:r>
                </w:p>
                <w:p w:rsidR="000D36B9" w:rsidRDefault="000D36B9" w:rsidP="000D36B9"/>
              </w:txbxContent>
            </v:textbox>
          </v:rect>
        </w:pict>
      </w:r>
    </w:p>
    <w:p w:rsidR="001A27F5" w:rsidRDefault="001A27F5" w:rsidP="000D36B9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28F9" w:rsidRDefault="00096D73" w:rsidP="000D36B9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</w:t>
      </w:r>
      <w:r w:rsidR="00E257E8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</w:p>
    <w:p w:rsidR="000D36B9" w:rsidRDefault="008B28F9" w:rsidP="000D36B9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</w:t>
      </w:r>
      <w:r w:rsidR="00457A35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Pogradec, më </w:t>
      </w:r>
      <w:r w:rsidR="00A4663A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16</w:t>
      </w:r>
      <w:r w:rsidR="008250B7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.12.</w:t>
      </w:r>
      <w:r w:rsidR="00457A35" w:rsidRPr="00056F4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20</w:t>
      </w:r>
      <w:r w:rsidR="00457A35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22</w:t>
      </w:r>
    </w:p>
    <w:p w:rsidR="00E257E8" w:rsidRDefault="00E257E8" w:rsidP="00E257E8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Në zbatim të nenit 22 dhe të nenit 25, të ligjit 152/2013 “Për nëpunësin civil” i ndryshuar, të Vendimit Nr. 243, datë 18/03/2015,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C9">
        <w:rPr>
          <w:rFonts w:ascii="Times New Roman" w:hAnsi="Times New Roman" w:cs="Times New Roman"/>
          <w:sz w:val="24"/>
          <w:szCs w:val="24"/>
        </w:rPr>
        <w:t>“P</w:t>
      </w:r>
      <w:r>
        <w:rPr>
          <w:rFonts w:ascii="Times New Roman" w:hAnsi="Times New Roman" w:cs="Times New Roman"/>
          <w:sz w:val="24"/>
          <w:szCs w:val="24"/>
        </w:rPr>
        <w:t>ër pranimin, lëvizjen paralele, periudhën e provës dhe emërimin në kategorinë ekzekutive” të Këshillit të Ministrave, Një</w:t>
      </w:r>
      <w:r w:rsidRPr="002F7B3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a e Menaxhimit te Burimeve Njerë</w:t>
      </w:r>
      <w:r w:rsidRPr="002F7B31">
        <w:rPr>
          <w:rFonts w:ascii="Times New Roman" w:hAnsi="Times New Roman" w:cs="Times New Roman"/>
          <w:sz w:val="24"/>
          <w:szCs w:val="24"/>
        </w:rPr>
        <w:t>zore pra</w:t>
      </w:r>
      <w:r w:rsidR="008250B7">
        <w:rPr>
          <w:rFonts w:ascii="Times New Roman" w:hAnsi="Times New Roman" w:cs="Times New Roman"/>
          <w:sz w:val="24"/>
          <w:szCs w:val="24"/>
        </w:rPr>
        <w:t>në Bashkisë Pogradec shpall proc</w:t>
      </w:r>
      <w:r w:rsidRPr="002F7B31">
        <w:rPr>
          <w:rFonts w:ascii="Times New Roman" w:hAnsi="Times New Roman" w:cs="Times New Roman"/>
          <w:sz w:val="24"/>
          <w:szCs w:val="24"/>
        </w:rPr>
        <w:t>edurat e lëvizjes paralele dhe të pranimit në shërbimin civil për kateg</w:t>
      </w:r>
      <w:r>
        <w:rPr>
          <w:rFonts w:ascii="Times New Roman" w:hAnsi="Times New Roman" w:cs="Times New Roman"/>
          <w:sz w:val="24"/>
          <w:szCs w:val="24"/>
        </w:rPr>
        <w:t>orinë ekzekutive, për pozicionin</w:t>
      </w:r>
      <w:r w:rsidRPr="002F7B31">
        <w:rPr>
          <w:rFonts w:ascii="Times New Roman" w:hAnsi="Times New Roman" w:cs="Times New Roman"/>
          <w:sz w:val="24"/>
          <w:szCs w:val="24"/>
        </w:rPr>
        <w:t>:</w:t>
      </w:r>
    </w:p>
    <w:p w:rsidR="00DE7626" w:rsidRPr="007B3951" w:rsidRDefault="000D36B9" w:rsidP="000D36B9">
      <w:pPr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1 (Një) p</w:t>
      </w:r>
      <w:r w:rsidRPr="008E08E7">
        <w:rPr>
          <w:rFonts w:ascii="Times New Roman" w:hAnsi="Times New Roman" w:cs="Times New Roman"/>
          <w:b/>
          <w:sz w:val="24"/>
          <w:szCs w:val="24"/>
        </w:rPr>
        <w:t>ozicion</w:t>
      </w:r>
      <w:r w:rsidR="007B3951">
        <w:rPr>
          <w:rFonts w:ascii="Times New Roman" w:hAnsi="Times New Roman" w:cs="Times New Roman"/>
          <w:b/>
          <w:sz w:val="24"/>
          <w:szCs w:val="24"/>
        </w:rPr>
        <w:t>-</w:t>
      </w:r>
      <w:r w:rsidR="007B3951" w:rsidRPr="007B3951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 </w:t>
      </w:r>
      <w:r w:rsidR="007B3951" w:rsidRPr="007B395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Specialist për Koordinimin e Integrimit Europian dhe Ndihmës së Huaj</w:t>
      </w:r>
      <w:r w:rsidR="007B395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, </w:t>
      </w:r>
      <w:proofErr w:type="gramStart"/>
      <w:r w:rsidR="007B395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pranë </w:t>
      </w:r>
      <w:bookmarkStart w:id="0" w:name="OLE_LINK1"/>
      <w:r w:rsidR="007B395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,</w:t>
      </w:r>
      <w:proofErr w:type="gramEnd"/>
      <w:r w:rsidR="007B395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</w:t>
      </w:r>
      <w:r w:rsidR="007B3951">
        <w:rPr>
          <w:rFonts w:ascii="Times New Roman" w:hAnsi="Times New Roman" w:cs="Times New Roman"/>
          <w:b/>
          <w:bCs/>
          <w:color w:val="000000"/>
          <w:szCs w:val="20"/>
          <w:lang w:val="it-IT"/>
        </w:rPr>
        <w:t>Njësisë</w:t>
      </w:r>
      <w:r w:rsidR="007B3951" w:rsidRPr="0032210B">
        <w:rPr>
          <w:rFonts w:ascii="Times New Roman" w:hAnsi="Times New Roman" w:cs="Times New Roman"/>
          <w:b/>
          <w:bCs/>
          <w:color w:val="000000"/>
          <w:szCs w:val="20"/>
          <w:lang w:val="it-IT"/>
        </w:rPr>
        <w:t xml:space="preserve"> për Koordinimin e Integrimit Europian dhe Ndihmës së Huaj</w:t>
      </w:r>
      <w:bookmarkEnd w:id="0"/>
      <w:r w:rsidR="007B3951">
        <w:rPr>
          <w:rFonts w:ascii="Times New Roman" w:hAnsi="Times New Roman" w:cs="Times New Roman"/>
          <w:b/>
          <w:bCs/>
          <w:color w:val="000000"/>
          <w:szCs w:val="20"/>
          <w:lang w:val="it-IT"/>
        </w:rPr>
        <w:t>, Kategoria e pagës IV-a.</w:t>
      </w:r>
    </w:p>
    <w:p w:rsidR="000D36B9" w:rsidRDefault="000D36B9" w:rsidP="007B3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Pozicionet më sipër, u ofrohen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 fillimisht nëpunësve civilë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të së njëjtës kategori për proç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>edurën e lëvizjes paralele! Vetëm</w:t>
      </w:r>
      <w:r w:rsidR="007B3951">
        <w:rPr>
          <w:rFonts w:ascii="Times New Roman" w:hAnsi="Times New Roman" w:cs="Times New Roman"/>
          <w:sz w:val="24"/>
          <w:szCs w:val="24"/>
          <w:highlight w:val="yellow"/>
        </w:rPr>
        <w:t xml:space="preserve"> në rast se në përfundim të proc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>edurës së lëv</w:t>
      </w:r>
      <w:r>
        <w:rPr>
          <w:rFonts w:ascii="Times New Roman" w:hAnsi="Times New Roman" w:cs="Times New Roman"/>
          <w:sz w:val="24"/>
          <w:szCs w:val="24"/>
          <w:highlight w:val="yellow"/>
        </w:rPr>
        <w:t>izjes paralele, rezulton se këto pozicione janë ende vakante, ato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 janë të vlefsh</w:t>
      </w:r>
      <w:r w:rsidR="007B3951">
        <w:rPr>
          <w:rFonts w:ascii="Times New Roman" w:hAnsi="Times New Roman" w:cs="Times New Roman"/>
          <w:sz w:val="24"/>
          <w:szCs w:val="24"/>
          <w:highlight w:val="yellow"/>
        </w:rPr>
        <w:t>ëm për konkurrimin nëpërmjet proc</w:t>
      </w:r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edurës së ngritjes në </w:t>
      </w:r>
      <w:proofErr w:type="gramStart"/>
      <w:r w:rsidRPr="007158D3">
        <w:rPr>
          <w:rFonts w:ascii="Times New Roman" w:hAnsi="Times New Roman" w:cs="Times New Roman"/>
          <w:sz w:val="24"/>
          <w:szCs w:val="24"/>
          <w:highlight w:val="yellow"/>
        </w:rPr>
        <w:t xml:space="preserve">detyrë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36B9" w:rsidRPr="00DC69AE" w:rsidRDefault="000D36B9" w:rsidP="000D3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9AE">
        <w:rPr>
          <w:rFonts w:ascii="Times New Roman" w:hAnsi="Times New Roman" w:cs="Times New Roman"/>
          <w:sz w:val="24"/>
          <w:szCs w:val="24"/>
        </w:rPr>
        <w:t>Për të gjitha proçedurat (lëvizje paralele, ngritje në detyrë) aplikohet në të njëjtën kohë!</w:t>
      </w:r>
    </w:p>
    <w:tbl>
      <w:tblPr>
        <w:tblStyle w:val="TableGrid"/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0D36B9" w:rsidTr="007476D2">
        <w:trPr>
          <w:trHeight w:val="435"/>
        </w:trPr>
        <w:tc>
          <w:tcPr>
            <w:tcW w:w="9738" w:type="dxa"/>
          </w:tcPr>
          <w:p w:rsidR="000D36B9" w:rsidRPr="00DC69AE" w:rsidRDefault="000D36B9" w:rsidP="00747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>Afati për dorëzimin e dokumentave për LEVIZJE PARAL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ELE:     </w:t>
            </w:r>
            <w:r w:rsidR="00A466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26</w:t>
            </w:r>
            <w:r w:rsidR="008250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.12.</w:t>
            </w:r>
            <w:r w:rsidR="00457A35" w:rsidRPr="00056F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20</w:t>
            </w:r>
            <w:r w:rsidR="00457A3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36B9" w:rsidRPr="00223240" w:rsidRDefault="000D36B9" w:rsidP="008250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>Afati për dorëzimin e doku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mentave për NGRITJE NE DETYRE: </w:t>
            </w:r>
            <w:r w:rsidRPr="00DC69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6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04.01</w:t>
            </w:r>
            <w:r w:rsidR="008250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.</w:t>
            </w:r>
            <w:r w:rsidR="00457A35" w:rsidRPr="00056F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20</w:t>
            </w:r>
            <w:r w:rsidR="00457A3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2</w:t>
            </w:r>
            <w:r w:rsidR="00A466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3</w:t>
            </w:r>
            <w:r w:rsidR="0053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0EF6" w:rsidRDefault="00530EF6" w:rsidP="007B39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F6" w:rsidRDefault="000D36B9" w:rsidP="00530EF6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7B3951">
        <w:rPr>
          <w:rFonts w:ascii="Times New Roman" w:hAnsi="Times New Roman" w:cs="Times New Roman"/>
          <w:b/>
          <w:sz w:val="24"/>
          <w:szCs w:val="24"/>
        </w:rPr>
        <w:t xml:space="preserve">Përshkrimi përgjithësues i punës për </w:t>
      </w:r>
      <w:proofErr w:type="gramStart"/>
      <w:r w:rsidRPr="007B3951">
        <w:rPr>
          <w:rFonts w:ascii="Times New Roman" w:hAnsi="Times New Roman" w:cs="Times New Roman"/>
          <w:b/>
          <w:sz w:val="24"/>
          <w:szCs w:val="24"/>
        </w:rPr>
        <w:t>pozicionin</w:t>
      </w:r>
      <w:r w:rsidR="006824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3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951" w:rsidRPr="007B395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Specialist</w:t>
      </w:r>
      <w:proofErr w:type="gramEnd"/>
      <w:r w:rsidR="007B3951" w:rsidRPr="007B395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për Koordinimin e Integrimit Europian dhe Ndihmës së Huaj</w:t>
      </w:r>
      <w:r w:rsidR="007B395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, pranë ,  </w:t>
      </w:r>
      <w:r w:rsidR="007B3951">
        <w:rPr>
          <w:rFonts w:ascii="Times New Roman" w:hAnsi="Times New Roman" w:cs="Times New Roman"/>
          <w:b/>
          <w:bCs/>
          <w:color w:val="000000"/>
          <w:szCs w:val="20"/>
          <w:lang w:val="it-IT"/>
        </w:rPr>
        <w:t>Njësisë</w:t>
      </w:r>
      <w:r w:rsidR="007B3951" w:rsidRPr="0032210B">
        <w:rPr>
          <w:rFonts w:ascii="Times New Roman" w:hAnsi="Times New Roman" w:cs="Times New Roman"/>
          <w:b/>
          <w:bCs/>
          <w:color w:val="000000"/>
          <w:szCs w:val="20"/>
          <w:lang w:val="it-IT"/>
        </w:rPr>
        <w:t xml:space="preserve"> për Koordinimin e Integrimit Europian dhe Ndihmës së Huaj</w:t>
      </w:r>
      <w:r w:rsidR="007B3951">
        <w:rPr>
          <w:rFonts w:ascii="Times New Roman" w:hAnsi="Times New Roman" w:cs="Times New Roman"/>
          <w:b/>
          <w:bCs/>
          <w:color w:val="000000"/>
          <w:szCs w:val="20"/>
          <w:lang w:val="it-IT"/>
        </w:rPr>
        <w:t>, Kategoria e pagës IV-a.</w:t>
      </w:r>
    </w:p>
    <w:p w:rsidR="006D65EC" w:rsidRPr="008250B7" w:rsidRDefault="006D65EC" w:rsidP="00530EF6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530EF6">
        <w:rPr>
          <w:rFonts w:ascii="Times New Roman" w:hAnsi="Times New Roman" w:cs="Times New Roman"/>
          <w:sz w:val="24"/>
          <w:szCs w:val="24"/>
        </w:rPr>
        <w:t xml:space="preserve">Bashkërendimi dhe mbështetja e strukturave administrative të bashkisë për zbatimin e politikave, të legjislacionit, të investimeve dhe të shërbimeve të lidhura apo që rrjedhin nga procesi i integrimit Evropian, në nivel vendor. </w:t>
      </w:r>
    </w:p>
    <w:p w:rsidR="008250B7" w:rsidRDefault="008250B7" w:rsidP="008250B7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250B7" w:rsidRDefault="008250B7" w:rsidP="008250B7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250B7" w:rsidRPr="008250B7" w:rsidRDefault="008250B7" w:rsidP="008250B7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6D65EC" w:rsidRDefault="006D65EC" w:rsidP="00530EF6">
      <w:pPr>
        <w:pStyle w:val="ListParagraph"/>
        <w:numPr>
          <w:ilvl w:val="0"/>
          <w:numId w:val="5"/>
        </w:numPr>
        <w:spacing w:after="120" w:line="360" w:lineRule="auto"/>
        <w:jc w:val="both"/>
      </w:pPr>
      <w:r w:rsidRPr="00530EF6">
        <w:rPr>
          <w:rFonts w:ascii="Times New Roman" w:hAnsi="Times New Roman" w:cs="Times New Roman"/>
          <w:sz w:val="24"/>
          <w:szCs w:val="24"/>
        </w:rPr>
        <w:t>Bashkërendimi i strukturave administrative dhe përfaqësimi i bashkisë në marrëdhënien me strukturat e qeverisjes qendrore përgjegjëse për integrimin evropian dhe proceset përbërëse të tij.</w:t>
      </w:r>
      <w:r>
        <w:t xml:space="preserve"> </w:t>
      </w:r>
    </w:p>
    <w:p w:rsidR="00530EF6" w:rsidRDefault="006D65EC" w:rsidP="00530EF6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F6">
        <w:rPr>
          <w:rFonts w:ascii="Times New Roman" w:hAnsi="Times New Roman" w:cs="Times New Roman"/>
          <w:sz w:val="24"/>
          <w:szCs w:val="24"/>
        </w:rPr>
        <w:t xml:space="preserve">Bashkërendimi i strukturave administrative të bashkisë për rritjen e kapacitetit përthithës të përdorimit të asistencës së Bashkimit Evropian për procesin e integrimit evropian në nivel vendor. </w:t>
      </w:r>
    </w:p>
    <w:p w:rsidR="000D36B9" w:rsidRPr="00530EF6" w:rsidRDefault="006D65EC" w:rsidP="00530EF6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F6">
        <w:rPr>
          <w:rFonts w:ascii="Times New Roman" w:hAnsi="Times New Roman" w:cs="Times New Roman"/>
          <w:sz w:val="24"/>
          <w:szCs w:val="24"/>
        </w:rPr>
        <w:t xml:space="preserve"> Bashkërendimi, organizimi dhe drejtimi i aktivitetit publik të bashkisë, me qëllim realizimin e funksioneve të veta apo të deleguara në kuadër të procesit të integrimit evropian dhe të zbatimit të asistencës të Bashkimit Evropian për këtë proces</w:t>
      </w:r>
      <w:r w:rsidRPr="00530EF6">
        <w:rPr>
          <w:rFonts w:ascii="Times New Roman" w:hAnsi="Times New Roman" w:cs="Times New Roman"/>
        </w:rPr>
        <w:t>.</w:t>
      </w:r>
    </w:p>
    <w:p w:rsidR="006D65EC" w:rsidRPr="00530EF6" w:rsidRDefault="00530EF6" w:rsidP="00530EF6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D65EC" w:rsidRPr="00530EF6">
        <w:rPr>
          <w:rFonts w:ascii="Times New Roman" w:hAnsi="Times New Roman" w:cs="Times New Roman"/>
        </w:rPr>
        <w:t>Mbështetja dhe drejtimi i strukturaveadministrative tëbashkisëpërpërgatitjen, zbatimin, monitorimin, vlerësimin dhe informimin përprojektet e financuara nga programet e asistencës së Bashkimit Evropian për procesin e integrimit evropian në nivel vendor.</w:t>
      </w:r>
    </w:p>
    <w:p w:rsidR="006D65EC" w:rsidRPr="00530EF6" w:rsidRDefault="006D65EC" w:rsidP="00530EF6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530EF6">
        <w:rPr>
          <w:rFonts w:ascii="Times New Roman" w:hAnsi="Times New Roman" w:cs="Times New Roman"/>
        </w:rPr>
        <w:t xml:space="preserve">Hartimi çdo 6 (gjashtë) muaj ose, nëse kërkohet, sipas rastit, për të informuar Ministrinë e Brendshme dhe Ministrinë për Evropën dhe Punët e Jashtme, lidhur me përmbushjen e kritereve dhe të standardeve që rrjedhin nga procesi i integrimit evropiandhe/osezbatimittëasistencëssë BE-së për funksionet e veta apo të deleguara të bashkisë. </w:t>
      </w:r>
    </w:p>
    <w:p w:rsidR="006D65EC" w:rsidRPr="00530EF6" w:rsidRDefault="006D65EC" w:rsidP="00530EF6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530EF6">
        <w:rPr>
          <w:rFonts w:ascii="Times New Roman" w:hAnsi="Times New Roman" w:cs="Times New Roman"/>
        </w:rPr>
        <w:t xml:space="preserve">Informimi në mënyrë periodike i publikut dhe i grupeve të tjera të interesit për procesin e integrimit evropian, për politikat e BE-së dhe mundësitë për përfitim nga asistenca e Bashkimit Evropian, nëpërmjet këndeve të Bashkimit Evropian, të cilat krijohen dhe funksionojnë brenda bashkisë. </w:t>
      </w:r>
    </w:p>
    <w:p w:rsidR="006D65EC" w:rsidRPr="00530EF6" w:rsidRDefault="006D65EC" w:rsidP="00530EF6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6">
        <w:rPr>
          <w:rFonts w:ascii="Times New Roman" w:hAnsi="Times New Roman" w:cs="Times New Roman"/>
          <w:sz w:val="24"/>
          <w:szCs w:val="24"/>
        </w:rPr>
        <w:t>Administrimi dhe publikimi i informacionit rreth Bashkimit Evropian dhe procesit të integrimit Evropian të Republikës së Shqipërisë, në faqen zyrtare të internetit të bashkisë, informacion i cili duhet të ketë formë dhe përmbajtje të unifikuar për të gjitha bashkitë</w:t>
      </w:r>
      <w:r>
        <w:t>.</w:t>
      </w:r>
    </w:p>
    <w:p w:rsidR="000D36B9" w:rsidRPr="00DA62C5" w:rsidRDefault="009B2ABF" w:rsidP="000D36B9">
      <w:pPr>
        <w:pStyle w:val="ListParagraph"/>
        <w:spacing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5.25pt;margin-top:1.8pt;width:204.75pt;height:32.25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D65EC" w:rsidRPr="00E00038" w:rsidRDefault="006D65EC" w:rsidP="006D65EC">
                  <w:r>
                    <w:rPr>
                      <w:rFonts w:ascii="Times New Roman" w:hAnsi="Times New Roman" w:cs="Times New Roman"/>
                      <w:b/>
                      <w:sz w:val="24"/>
                      <w:lang w:val="sq-AL"/>
                    </w:rPr>
                    <w:t>1.</w:t>
                  </w:r>
                  <w:r w:rsidRPr="00E00038">
                    <w:rPr>
                      <w:rFonts w:ascii="Times New Roman" w:hAnsi="Times New Roman" w:cs="Times New Roman"/>
                      <w:b/>
                      <w:sz w:val="24"/>
                      <w:lang w:val="sq-AL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ËVIZJA  </w:t>
                  </w:r>
                  <w:r w:rsidRPr="00E000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PARALELE</w:t>
                  </w:r>
                </w:p>
              </w:txbxContent>
            </v:textbox>
          </v:roundrect>
        </w:pict>
      </w:r>
    </w:p>
    <w:p w:rsidR="006D65EC" w:rsidRDefault="006D65EC" w:rsidP="006D6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5EC" w:rsidRPr="00223240" w:rsidRDefault="006D65EC" w:rsidP="006D6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sz w:val="24"/>
          <w:szCs w:val="24"/>
        </w:rPr>
        <w:t xml:space="preserve">Kanë të drejtë të aplikojnë </w:t>
      </w:r>
      <w:r>
        <w:rPr>
          <w:rFonts w:ascii="Times New Roman" w:hAnsi="Times New Roman" w:cs="Times New Roman"/>
          <w:sz w:val="24"/>
          <w:szCs w:val="24"/>
        </w:rPr>
        <w:t>për këtë proç</w:t>
      </w:r>
      <w:r w:rsidRPr="00223240">
        <w:rPr>
          <w:rFonts w:ascii="Times New Roman" w:hAnsi="Times New Roman" w:cs="Times New Roman"/>
          <w:sz w:val="24"/>
          <w:szCs w:val="24"/>
        </w:rPr>
        <w:t>edurë vetëm nëpunësit civilë të së njëjtës kategori, në të gjitha insitucionet pjesë e shërbimit civil.</w:t>
      </w:r>
    </w:p>
    <w:p w:rsidR="006D65EC" w:rsidRPr="00485E32" w:rsidRDefault="006D65EC" w:rsidP="006D65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 </w:t>
      </w:r>
      <w:r w:rsidRPr="00223240">
        <w:rPr>
          <w:rFonts w:ascii="Times New Roman" w:hAnsi="Times New Roman" w:cs="Times New Roman"/>
          <w:b/>
          <w:sz w:val="24"/>
          <w:szCs w:val="24"/>
        </w:rPr>
        <w:t xml:space="preserve">KUSHTET PËR LËVIZJEN PARALELE DHE KRITERET E VEÇANTA </w:t>
      </w:r>
    </w:p>
    <w:p w:rsidR="006D65EC" w:rsidRPr="00223240" w:rsidRDefault="006D65EC" w:rsidP="006D65E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 xml:space="preserve">Kandidatët duhet të plotësojnë kushtet për lëvizjen paralele si vijon: </w:t>
      </w:r>
    </w:p>
    <w:p w:rsidR="006D65EC" w:rsidRPr="00223240" w:rsidRDefault="006D65EC" w:rsidP="006D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24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223240">
        <w:rPr>
          <w:rFonts w:ascii="Times New Roman" w:hAnsi="Times New Roman" w:cs="Times New Roman"/>
          <w:sz w:val="24"/>
          <w:szCs w:val="24"/>
        </w:rPr>
        <w:t xml:space="preserve"> je</w:t>
      </w:r>
      <w:r w:rsidR="008C4260">
        <w:rPr>
          <w:rFonts w:ascii="Times New Roman" w:hAnsi="Times New Roman" w:cs="Times New Roman"/>
          <w:sz w:val="24"/>
          <w:szCs w:val="24"/>
        </w:rPr>
        <w:t>të</w:t>
      </w:r>
      <w:r w:rsidRPr="00223240">
        <w:rPr>
          <w:rFonts w:ascii="Times New Roman" w:hAnsi="Times New Roman" w:cs="Times New Roman"/>
          <w:sz w:val="24"/>
          <w:szCs w:val="24"/>
        </w:rPr>
        <w:t xml:space="preserve"> nëpunës civilë </w:t>
      </w:r>
      <w:r w:rsidR="00A85A4D">
        <w:rPr>
          <w:rFonts w:ascii="Times New Roman" w:hAnsi="Times New Roman" w:cs="Times New Roman"/>
          <w:sz w:val="24"/>
          <w:szCs w:val="24"/>
        </w:rPr>
        <w:t>i konfirmuar, bre</w:t>
      </w:r>
      <w:r>
        <w:rPr>
          <w:rFonts w:ascii="Times New Roman" w:hAnsi="Times New Roman" w:cs="Times New Roman"/>
          <w:sz w:val="24"/>
          <w:szCs w:val="24"/>
        </w:rPr>
        <w:t xml:space="preserve">nda </w:t>
      </w:r>
      <w:r w:rsidR="008C4260">
        <w:rPr>
          <w:rFonts w:ascii="Times New Roman" w:hAnsi="Times New Roman" w:cs="Times New Roman"/>
          <w:sz w:val="24"/>
          <w:szCs w:val="24"/>
        </w:rPr>
        <w:t>të njëjtës kategori</w:t>
      </w:r>
      <w:r w:rsidRPr="00223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5EC" w:rsidRPr="00223240" w:rsidRDefault="006D65EC" w:rsidP="006D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24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223240">
        <w:rPr>
          <w:rFonts w:ascii="Times New Roman" w:hAnsi="Times New Roman" w:cs="Times New Roman"/>
          <w:sz w:val="24"/>
          <w:szCs w:val="24"/>
        </w:rPr>
        <w:t xml:space="preserve"> mos kenë masë disiplinore në fuqi; </w:t>
      </w:r>
    </w:p>
    <w:p w:rsidR="006D65EC" w:rsidRPr="008250B7" w:rsidRDefault="006D65EC" w:rsidP="0082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>Të kenë të paktën vlerësimin e fundit “mirë” apo “shumë mirë”.</w:t>
      </w:r>
    </w:p>
    <w:p w:rsidR="006D65EC" w:rsidRPr="00223240" w:rsidRDefault="006D65EC" w:rsidP="006D65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Kandidatët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240">
        <w:rPr>
          <w:rFonts w:ascii="Times New Roman" w:hAnsi="Times New Roman" w:cs="Times New Roman"/>
          <w:b/>
          <w:sz w:val="24"/>
          <w:szCs w:val="24"/>
        </w:rPr>
        <w:t>duhet të plotësojnë kërkesat e posaçme si vijon:</w:t>
      </w:r>
    </w:p>
    <w:p w:rsidR="006D65EC" w:rsidRPr="00836D10" w:rsidRDefault="00836D10" w:rsidP="00836D10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>1.</w:t>
      </w:r>
      <w:r w:rsidR="006D65EC" w:rsidRPr="00836D10">
        <w:rPr>
          <w:rFonts w:ascii="Times New Roman" w:hAnsi="Times New Roman" w:cs="Times New Roman"/>
          <w:sz w:val="24"/>
          <w:szCs w:val="24"/>
        </w:rPr>
        <w:t xml:space="preserve">Të zotërojnë diplomë të nivelit “Master </w:t>
      </w:r>
      <w:proofErr w:type="gramStart"/>
      <w:r w:rsidR="006D65EC" w:rsidRPr="00836D10">
        <w:rPr>
          <w:rFonts w:ascii="Times New Roman" w:hAnsi="Times New Roman" w:cs="Times New Roman"/>
          <w:sz w:val="24"/>
          <w:szCs w:val="24"/>
        </w:rPr>
        <w:t>Profesional ”në</w:t>
      </w:r>
      <w:proofErr w:type="gramEnd"/>
      <w:r w:rsidR="006D65EC" w:rsidRPr="00836D10">
        <w:rPr>
          <w:rFonts w:ascii="Times New Roman" w:hAnsi="Times New Roman" w:cs="Times New Roman"/>
          <w:sz w:val="24"/>
          <w:szCs w:val="24"/>
        </w:rPr>
        <w:t xml:space="preserve"> Shkenca Shoqerore/Shkenca të komunikimit/Gjuhë të huaj, edhe diploma e nivelit “Bachelor” du</w:t>
      </w:r>
      <w:r w:rsidR="007B73B3">
        <w:rPr>
          <w:rFonts w:ascii="Times New Roman" w:hAnsi="Times New Roman" w:cs="Times New Roman"/>
          <w:sz w:val="24"/>
          <w:szCs w:val="24"/>
        </w:rPr>
        <w:t xml:space="preserve">het të jetë në të njëjtën fushë, Shkenca Kompjuterike </w:t>
      </w:r>
      <w:r w:rsidR="006D65EC" w:rsidRPr="00836D10">
        <w:rPr>
          <w:rFonts w:ascii="Times New Roman" w:hAnsi="Times New Roman" w:cs="Times New Roman"/>
          <w:sz w:val="24"/>
          <w:szCs w:val="24"/>
        </w:rPr>
        <w:t>(Diplomat të cilat janë marrë jashtë vendit, duhet të jenë të njohura paraprakisht pranë institucionit përgjegjës për njehsimin e diplomave sipas legjislacionit në fuqi).</w:t>
      </w:r>
    </w:p>
    <w:p w:rsidR="00836D10" w:rsidRDefault="006D65EC" w:rsidP="00836D10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2. Të kenë eksperiencë pune jo më pak se një vit, në administratën shtetërore dhe/ose institucione të pavarura dhe/ose institucionet e Qeverisjes Vendore </w:t>
      </w:r>
    </w:p>
    <w:p w:rsidR="00836D10" w:rsidRPr="00836D10" w:rsidRDefault="00836D10" w:rsidP="00836D10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65EC" w:rsidRPr="00836D10">
        <w:rPr>
          <w:rFonts w:ascii="Times New Roman" w:hAnsi="Times New Roman" w:cs="Times New Roman"/>
          <w:sz w:val="24"/>
          <w:szCs w:val="24"/>
        </w:rPr>
        <w:t xml:space="preserve">Të kenë aftësi të mira komunikuese dhe të punës në grupe. </w:t>
      </w:r>
    </w:p>
    <w:p w:rsidR="000C02AB" w:rsidRDefault="00836D10" w:rsidP="00836D10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5EC" w:rsidRPr="00836D10">
        <w:rPr>
          <w:rFonts w:ascii="Times New Roman" w:hAnsi="Times New Roman" w:cs="Times New Roman"/>
          <w:sz w:val="24"/>
          <w:szCs w:val="24"/>
        </w:rPr>
        <w:t>. Të zotërojnë shumë mirë gjuhën angleze</w:t>
      </w:r>
    </w:p>
    <w:p w:rsidR="00836D10" w:rsidRDefault="00836D10" w:rsidP="00836D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1.2 DOKUMENTACIONI, MËNYRA DHE AFATI I DORËZIMIT</w:t>
      </w:r>
    </w:p>
    <w:p w:rsidR="00836D10" w:rsidRDefault="00836D10" w:rsidP="007C75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 xml:space="preserve">Kandidatët duhet të dorëzojnë dokumentat si më poshtë  </w:t>
      </w:r>
    </w:p>
    <w:p w:rsidR="00836D10" w:rsidRDefault="00836D10" w:rsidP="007C75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Pr="00223240">
        <w:rPr>
          <w:rFonts w:ascii="Times New Roman" w:hAnsi="Times New Roman" w:cs="Times New Roman"/>
          <w:sz w:val="24"/>
          <w:szCs w:val="24"/>
        </w:rPr>
        <w:t xml:space="preserve">Jetëshkrim i aplikantit; </w:t>
      </w:r>
    </w:p>
    <w:p w:rsidR="00836D10" w:rsidRDefault="00836D10" w:rsidP="007C7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23240">
        <w:rPr>
          <w:rFonts w:ascii="Times New Roman" w:hAnsi="Times New Roman" w:cs="Times New Roman"/>
          <w:sz w:val="24"/>
          <w:szCs w:val="24"/>
        </w:rPr>
        <w:t>- Fotokopje të diplomës (përfshirë edhe diplomën bachelor);</w:t>
      </w:r>
    </w:p>
    <w:p w:rsidR="00836D10" w:rsidRPr="00701652" w:rsidRDefault="00836D10" w:rsidP="007C7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librezës së punës (të gjitha faqet që vërtetojnë eksperiencën në punë); </w:t>
      </w:r>
    </w:p>
    <w:p w:rsidR="00836D10" w:rsidRPr="00223240" w:rsidRDefault="00836D10" w:rsidP="007C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letërnjoftimit (ID); </w:t>
      </w:r>
    </w:p>
    <w:p w:rsidR="00836D10" w:rsidRPr="00223240" w:rsidRDefault="00836D10" w:rsidP="007C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23240">
        <w:rPr>
          <w:rFonts w:ascii="Times New Roman" w:hAnsi="Times New Roman" w:cs="Times New Roman"/>
          <w:sz w:val="24"/>
          <w:szCs w:val="24"/>
        </w:rPr>
        <w:t>- Vërtetim të gjendjes shëndetësore;</w:t>
      </w:r>
    </w:p>
    <w:p w:rsidR="00836D10" w:rsidRPr="00223240" w:rsidRDefault="00836D10" w:rsidP="007C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23240">
        <w:rPr>
          <w:rFonts w:ascii="Times New Roman" w:hAnsi="Times New Roman" w:cs="Times New Roman"/>
          <w:sz w:val="24"/>
          <w:szCs w:val="24"/>
        </w:rPr>
        <w:t>- Vetëdeklarim të gjendjes gjyqësore.</w:t>
      </w:r>
    </w:p>
    <w:p w:rsidR="00836D10" w:rsidRPr="00223240" w:rsidRDefault="00836D10" w:rsidP="007C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23240">
        <w:rPr>
          <w:rFonts w:ascii="Times New Roman" w:hAnsi="Times New Roman" w:cs="Times New Roman"/>
          <w:sz w:val="24"/>
          <w:szCs w:val="24"/>
        </w:rPr>
        <w:t xml:space="preserve">- Vlerësimin e fundit nga eprori direkt; </w:t>
      </w:r>
    </w:p>
    <w:p w:rsidR="00836D10" w:rsidRPr="00223240" w:rsidRDefault="00836D10" w:rsidP="007C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23240">
        <w:rPr>
          <w:rFonts w:ascii="Times New Roman" w:hAnsi="Times New Roman" w:cs="Times New Roman"/>
          <w:sz w:val="24"/>
          <w:szCs w:val="24"/>
        </w:rPr>
        <w:t>- Vërtetim nga Institucioni qe nuk ka mase displinore ne fuqi.</w:t>
      </w:r>
    </w:p>
    <w:p w:rsidR="00836D10" w:rsidRPr="00562301" w:rsidRDefault="00562301" w:rsidP="007C7547">
      <w:pPr>
        <w:tabs>
          <w:tab w:val="left" w:pos="5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</w:t>
      </w:r>
      <w:r w:rsidR="00836D10" w:rsidRPr="00562301">
        <w:rPr>
          <w:rFonts w:ascii="Times New Roman" w:hAnsi="Times New Roman" w:cs="Times New Roman"/>
          <w:sz w:val="24"/>
          <w:szCs w:val="24"/>
        </w:rPr>
        <w:t>Çdo dokumentacion tjetër që vërteton dokumentet e përmendura në jetëshkrimin tuaj</w:t>
      </w:r>
    </w:p>
    <w:p w:rsidR="00836D10" w:rsidRDefault="00836D10" w:rsidP="00836D10">
      <w:pPr>
        <w:pStyle w:val="ListParagraph"/>
        <w:tabs>
          <w:tab w:val="left" w:pos="5715"/>
        </w:tabs>
        <w:ind w:left="765"/>
        <w:rPr>
          <w:rFonts w:ascii="Times New Roman" w:hAnsi="Times New Roman" w:cs="Times New Roman"/>
          <w:sz w:val="24"/>
          <w:szCs w:val="24"/>
        </w:rPr>
      </w:pPr>
    </w:p>
    <w:p w:rsidR="00836D10" w:rsidRPr="008B6FD8" w:rsidRDefault="00836D10" w:rsidP="00836D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D8">
        <w:rPr>
          <w:rFonts w:ascii="Times New Roman" w:hAnsi="Times New Roman" w:cs="Times New Roman"/>
          <w:b/>
          <w:sz w:val="24"/>
          <w:szCs w:val="24"/>
        </w:rPr>
        <w:t xml:space="preserve">1.3 REZULTATET PËR FAZËN E VERIFIKIMIT PARAPRAK </w:t>
      </w:r>
    </w:p>
    <w:p w:rsidR="00836D10" w:rsidRPr="008A728A" w:rsidRDefault="008C4260" w:rsidP="00836D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datën </w:t>
      </w:r>
      <w:r w:rsidR="00141E44">
        <w:rPr>
          <w:rFonts w:ascii="Times New Roman" w:hAnsi="Times New Roman" w:cs="Times New Roman"/>
          <w:b/>
          <w:sz w:val="24"/>
          <w:szCs w:val="24"/>
        </w:rPr>
        <w:t>27</w:t>
      </w:r>
      <w:bookmarkStart w:id="1" w:name="_GoBack"/>
      <w:bookmarkEnd w:id="1"/>
      <w:r w:rsidR="008250B7" w:rsidRPr="008250B7">
        <w:rPr>
          <w:rFonts w:ascii="Times New Roman" w:hAnsi="Times New Roman" w:cs="Times New Roman"/>
          <w:b/>
          <w:sz w:val="24"/>
          <w:szCs w:val="24"/>
        </w:rPr>
        <w:t>.12.2022</w:t>
      </w:r>
      <w:r w:rsidR="008250B7">
        <w:rPr>
          <w:rFonts w:ascii="Times New Roman" w:hAnsi="Times New Roman" w:cs="Times New Roman"/>
          <w:sz w:val="24"/>
          <w:szCs w:val="24"/>
        </w:rPr>
        <w:t xml:space="preserve"> </w:t>
      </w:r>
      <w:r w:rsidR="00836D10" w:rsidRPr="008A728A">
        <w:rPr>
          <w:rFonts w:ascii="Times New Roman" w:hAnsi="Times New Roman" w:cs="Times New Roman"/>
          <w:sz w:val="24"/>
          <w:szCs w:val="24"/>
        </w:rPr>
        <w:t xml:space="preserve">Njësia e Menaxhimit të Burimeve Njerëzore do të shpallë në faqen zyrtare të internetit dhe në portalin “Shërbimi Kombëtar i Punësimit”, listën e kandidatëve që plotësojnë kushtet dhe kërkesat e posaçme për procedurën e lëvizjes paralele, si dhe datën, vendin dhe orën </w:t>
      </w:r>
      <w:r w:rsidR="00836D10" w:rsidRPr="008A728A">
        <w:rPr>
          <w:rFonts w:ascii="Times New Roman" w:hAnsi="Times New Roman" w:cs="Times New Roman"/>
          <w:sz w:val="24"/>
          <w:szCs w:val="24"/>
        </w:rPr>
        <w:lastRenderedPageBreak/>
        <w:t>e saktë kur do të zhvillohet intervista. Në të njëjtën datë kandidatët që nuk plotësojnë kushtet e lëvizjes paralele dhe kërkesat e posaçme do të njoftohen individualisht nga Njësia e Menaxhimit të Burimeve Njerëzore për shkaqet e moskualifikimit (nëpërmjet adresës së e-mail).</w:t>
      </w:r>
    </w:p>
    <w:p w:rsidR="00836D10" w:rsidRPr="007766D6" w:rsidRDefault="00836D10" w:rsidP="00836D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66D6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D6">
        <w:rPr>
          <w:rFonts w:ascii="Times New Roman" w:hAnsi="Times New Roman" w:cs="Times New Roman"/>
          <w:b/>
          <w:sz w:val="24"/>
          <w:szCs w:val="24"/>
        </w:rPr>
        <w:t xml:space="preserve"> FUSHAT</w:t>
      </w:r>
      <w:proofErr w:type="gramEnd"/>
      <w:r w:rsidRPr="007766D6">
        <w:rPr>
          <w:rFonts w:ascii="Times New Roman" w:hAnsi="Times New Roman" w:cs="Times New Roman"/>
          <w:b/>
          <w:sz w:val="24"/>
          <w:szCs w:val="24"/>
        </w:rPr>
        <w:t xml:space="preserve"> E NJOHURIVE, AFTËSITË DHE CILËSITË MBI TË CILAT DO TË ZHVILLOHET INTERVISTA </w:t>
      </w:r>
    </w:p>
    <w:p w:rsidR="00836D10" w:rsidRDefault="00836D10" w:rsidP="00836D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Kandidati </w:t>
      </w:r>
      <w:r w:rsidRPr="004E47AE">
        <w:rPr>
          <w:rFonts w:ascii="Times New Roman" w:hAnsi="Times New Roman" w:cs="Times New Roman"/>
          <w:b/>
          <w:sz w:val="24"/>
          <w:szCs w:val="24"/>
        </w:rPr>
        <w:t xml:space="preserve"> për</w:t>
      </w:r>
      <w:proofErr w:type="gramEnd"/>
      <w:r w:rsidRPr="004E47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pozicionin më sipër do të vlerësohet në lidhje me:</w:t>
      </w:r>
    </w:p>
    <w:p w:rsidR="00836D10" w:rsidRPr="00836D10" w:rsidRDefault="00836D10" w:rsidP="00F50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Kandidatët do të vlerësohen në lidhje </w:t>
      </w:r>
      <w:proofErr w:type="gramStart"/>
      <w:r w:rsidRPr="00836D10">
        <w:rPr>
          <w:rFonts w:ascii="Times New Roman" w:hAnsi="Times New Roman" w:cs="Times New Roman"/>
          <w:sz w:val="24"/>
          <w:szCs w:val="24"/>
        </w:rPr>
        <w:t>me  Njohuritë</w:t>
      </w:r>
      <w:proofErr w:type="gramEnd"/>
      <w:r w:rsidRPr="00836D10">
        <w:rPr>
          <w:rFonts w:ascii="Times New Roman" w:hAnsi="Times New Roman" w:cs="Times New Roman"/>
          <w:sz w:val="24"/>
          <w:szCs w:val="24"/>
        </w:rPr>
        <w:t xml:space="preserve"> mbi ligjin nr.152/2013 “Për nëpunësin civil” si edhe Aktet nën ligjore qe rregullojnë marrëdhënien e punës në shërbimin civil  </w:t>
      </w:r>
    </w:p>
    <w:p w:rsidR="00836D10" w:rsidRPr="00836D10" w:rsidRDefault="00836D10" w:rsidP="00F50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>Njohuritë mbi ligjin nr.139 datë 17.12.2015 “Për Vetëqeverisjen Vendore”</w:t>
      </w:r>
    </w:p>
    <w:p w:rsidR="00836D10" w:rsidRPr="00836D10" w:rsidRDefault="00836D10" w:rsidP="00F5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sym w:font="Symbol" w:char="F0B7"/>
      </w:r>
      <w:r w:rsidRPr="00836D10">
        <w:rPr>
          <w:rFonts w:ascii="Times New Roman" w:hAnsi="Times New Roman" w:cs="Times New Roman"/>
          <w:sz w:val="24"/>
          <w:szCs w:val="24"/>
        </w:rPr>
        <w:t xml:space="preserve">   Njohuritë mbi ligjin nr 9367 datë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10">
        <w:rPr>
          <w:rFonts w:ascii="Times New Roman" w:hAnsi="Times New Roman" w:cs="Times New Roman"/>
          <w:sz w:val="24"/>
          <w:szCs w:val="24"/>
        </w:rPr>
        <w:t>04.2005 “Për parandalimin e konfliktit të intereresave”.</w:t>
      </w:r>
    </w:p>
    <w:p w:rsidR="00836D10" w:rsidRPr="00836D10" w:rsidRDefault="00836D10" w:rsidP="00F5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sym w:font="Symbol" w:char="F0B7"/>
      </w:r>
      <w:r w:rsidRPr="00836D10">
        <w:rPr>
          <w:rFonts w:ascii="Times New Roman" w:hAnsi="Times New Roman" w:cs="Times New Roman"/>
          <w:sz w:val="24"/>
          <w:szCs w:val="24"/>
        </w:rPr>
        <w:t xml:space="preserve">   Njohuritë mbi ligjin 9131 datë 08.09.2003 “Për rregullat e etikës në administratën publike”.</w:t>
      </w:r>
    </w:p>
    <w:p w:rsidR="00836D10" w:rsidRPr="00836D10" w:rsidRDefault="00836D10" w:rsidP="00F5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sym w:font="Symbol" w:char="F0B7"/>
      </w:r>
      <w:r w:rsidR="008C4260">
        <w:rPr>
          <w:rFonts w:ascii="Times New Roman" w:hAnsi="Times New Roman" w:cs="Times New Roman"/>
          <w:sz w:val="24"/>
          <w:szCs w:val="24"/>
        </w:rPr>
        <w:t xml:space="preserve">   VKM </w:t>
      </w:r>
      <w:proofErr w:type="gramStart"/>
      <w:r w:rsidR="008C4260">
        <w:rPr>
          <w:rFonts w:ascii="Times New Roman" w:hAnsi="Times New Roman" w:cs="Times New Roman"/>
          <w:sz w:val="24"/>
          <w:szCs w:val="24"/>
        </w:rPr>
        <w:t>450 ,</w:t>
      </w:r>
      <w:proofErr w:type="gramEnd"/>
      <w:r w:rsidR="008C4260">
        <w:rPr>
          <w:rFonts w:ascii="Times New Roman" w:hAnsi="Times New Roman" w:cs="Times New Roman"/>
          <w:sz w:val="24"/>
          <w:szCs w:val="24"/>
        </w:rPr>
        <w:t xml:space="preserve"> datë 26.07.2018 “</w:t>
      </w:r>
      <w:r w:rsidRPr="00836D10">
        <w:rPr>
          <w:rFonts w:ascii="Times New Roman" w:hAnsi="Times New Roman" w:cs="Times New Roman"/>
          <w:sz w:val="24"/>
          <w:szCs w:val="24"/>
        </w:rPr>
        <w:t>Për bashkërendimin dhe Ko</w:t>
      </w:r>
      <w:r w:rsidR="008C4260">
        <w:rPr>
          <w:rFonts w:ascii="Times New Roman" w:hAnsi="Times New Roman" w:cs="Times New Roman"/>
          <w:sz w:val="24"/>
          <w:szCs w:val="24"/>
        </w:rPr>
        <w:t>o</w:t>
      </w:r>
      <w:r w:rsidRPr="00836D10">
        <w:rPr>
          <w:rFonts w:ascii="Times New Roman" w:hAnsi="Times New Roman" w:cs="Times New Roman"/>
          <w:sz w:val="24"/>
          <w:szCs w:val="24"/>
        </w:rPr>
        <w:t>rdinimin e</w:t>
      </w:r>
      <w:r w:rsidR="008C4260">
        <w:rPr>
          <w:rFonts w:ascii="Times New Roman" w:hAnsi="Times New Roman" w:cs="Times New Roman"/>
          <w:sz w:val="24"/>
          <w:szCs w:val="24"/>
        </w:rPr>
        <w:t xml:space="preserve"> proç</w:t>
      </w:r>
      <w:r w:rsidRPr="00836D10">
        <w:rPr>
          <w:rFonts w:ascii="Times New Roman" w:hAnsi="Times New Roman" w:cs="Times New Roman"/>
          <w:sz w:val="24"/>
          <w:szCs w:val="24"/>
        </w:rPr>
        <w:t>esit të Integrimit Evropian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60">
        <w:rPr>
          <w:rFonts w:ascii="Times New Roman" w:hAnsi="Times New Roman" w:cs="Times New Roman"/>
          <w:sz w:val="24"/>
          <w:szCs w:val="24"/>
        </w:rPr>
        <w:t>ndë</w:t>
      </w:r>
      <w:r w:rsidRPr="00836D10">
        <w:rPr>
          <w:rFonts w:ascii="Times New Roman" w:hAnsi="Times New Roman" w:cs="Times New Roman"/>
          <w:sz w:val="24"/>
          <w:szCs w:val="24"/>
        </w:rPr>
        <w:t>rmjet qe</w:t>
      </w:r>
      <w:r w:rsidR="008C4260">
        <w:rPr>
          <w:rFonts w:ascii="Times New Roman" w:hAnsi="Times New Roman" w:cs="Times New Roman"/>
          <w:sz w:val="24"/>
          <w:szCs w:val="24"/>
        </w:rPr>
        <w:t>verisjes qëndrore dhe Njësine të</w:t>
      </w:r>
      <w:r w:rsidRPr="00836D10">
        <w:rPr>
          <w:rFonts w:ascii="Times New Roman" w:hAnsi="Times New Roman" w:cs="Times New Roman"/>
          <w:sz w:val="24"/>
          <w:szCs w:val="24"/>
        </w:rPr>
        <w:t xml:space="preserve"> vetëqeverisjes vendore”.  </w:t>
      </w:r>
    </w:p>
    <w:p w:rsidR="00836D10" w:rsidRDefault="00836D10" w:rsidP="00F50C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>Udhezimi per zbatimin e VKM nr.450 datë 26.07.2018</w:t>
      </w:r>
    </w:p>
    <w:p w:rsidR="00A85A4D" w:rsidRDefault="00A85A4D" w:rsidP="00A85A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6D10" w:rsidRPr="00836D10" w:rsidRDefault="00836D10" w:rsidP="00836D1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1.5 MËNYRA E VLERËSIMIT TË KANDIDATËVE </w:t>
      </w:r>
    </w:p>
    <w:p w:rsidR="00836D10" w:rsidRPr="00836D10" w:rsidRDefault="00836D10" w:rsidP="00836D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Kandidatët do të vlerësohen në lidhje me dokumentacionin e dorëzuar:</w:t>
      </w:r>
      <w:r w:rsidRPr="00836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10" w:rsidRDefault="00836D10" w:rsidP="00836D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Kandidatët do të vlerësohen për përvojën, trajnimet apo kualifikimet e lidhura me fushën, si dhe çertifikimin pozitiv ose për vlerësimet e rezultateve individale në punë në rastet kur proçesi i çertifikimit nuk është kryer. </w:t>
      </w:r>
    </w:p>
    <w:p w:rsidR="00836D10" w:rsidRPr="00836D10" w:rsidRDefault="00836D10" w:rsidP="00836D1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me:</w:t>
      </w:r>
    </w:p>
    <w:p w:rsidR="00836D10" w:rsidRDefault="00836D10" w:rsidP="00836D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836D10">
        <w:rPr>
          <w:rFonts w:ascii="Times New Roman" w:hAnsi="Times New Roman" w:cs="Times New Roman"/>
          <w:sz w:val="24"/>
          <w:szCs w:val="24"/>
        </w:rPr>
        <w:t xml:space="preserve"> - Njohuritë, aftësitë, kompetencën në lidhje me përshkrimin e pozicionit të punës;</w:t>
      </w:r>
    </w:p>
    <w:p w:rsidR="00836D10" w:rsidRDefault="00836D10" w:rsidP="00836D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10">
        <w:rPr>
          <w:rFonts w:ascii="Times New Roman" w:hAnsi="Times New Roman" w:cs="Times New Roman"/>
          <w:b/>
          <w:sz w:val="24"/>
          <w:szCs w:val="24"/>
        </w:rPr>
        <w:t>b</w:t>
      </w:r>
      <w:r w:rsidRPr="00836D10">
        <w:rPr>
          <w:rFonts w:ascii="Times New Roman" w:hAnsi="Times New Roman" w:cs="Times New Roman"/>
          <w:sz w:val="24"/>
          <w:szCs w:val="24"/>
        </w:rPr>
        <w:t xml:space="preserve"> - Eksperiencën e tyre të mëparshme;</w:t>
      </w:r>
    </w:p>
    <w:p w:rsidR="00836D10" w:rsidRPr="00836D10" w:rsidRDefault="00836D10" w:rsidP="00836D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10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836D10">
        <w:rPr>
          <w:rFonts w:ascii="Times New Roman" w:hAnsi="Times New Roman" w:cs="Times New Roman"/>
          <w:sz w:val="24"/>
          <w:szCs w:val="24"/>
        </w:rPr>
        <w:t xml:space="preserve">- Motivimin, aspiratat dhe pritshmëritë e tyre për karrierën; </w:t>
      </w:r>
    </w:p>
    <w:p w:rsidR="00836D10" w:rsidRPr="00B90446" w:rsidRDefault="00836D10" w:rsidP="00B9044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0446">
        <w:rPr>
          <w:rFonts w:ascii="Times New Roman" w:hAnsi="Times New Roman" w:cs="Times New Roman"/>
          <w:b/>
          <w:sz w:val="24"/>
          <w:szCs w:val="24"/>
        </w:rPr>
        <w:t>1.6  DATA</w:t>
      </w:r>
      <w:proofErr w:type="gramEnd"/>
      <w:r w:rsidRPr="00B90446">
        <w:rPr>
          <w:rFonts w:ascii="Times New Roman" w:hAnsi="Times New Roman" w:cs="Times New Roman"/>
          <w:b/>
          <w:sz w:val="24"/>
          <w:szCs w:val="24"/>
        </w:rPr>
        <w:t xml:space="preserve"> E DALJES SË REZULTATEVE TË KONKURIMIT DHE MËNYRA E KOMUNIKIMIT</w:t>
      </w:r>
    </w:p>
    <w:p w:rsidR="008B28F9" w:rsidRDefault="009B2ABF" w:rsidP="00F50C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pict>
          <v:rect id="_x0000_s1031" style="position:absolute;left:0;text-align:left;margin-left:-9.75pt;margin-top:69pt;width:193.5pt;height:34.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36D10" w:rsidRPr="00E00038" w:rsidRDefault="00836D10" w:rsidP="007C7547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00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="007C75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PRANIMI </w:t>
                  </w:r>
                  <w:r w:rsidR="004923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NË SHËRBIMIN CIVIL </w:t>
                  </w:r>
                </w:p>
                <w:p w:rsidR="00836D10" w:rsidRDefault="00836D10" w:rsidP="00836D10"/>
              </w:txbxContent>
            </v:textbox>
          </v:rect>
        </w:pict>
      </w:r>
      <w:r w:rsidR="00836D10" w:rsidRPr="008B28F9">
        <w:rPr>
          <w:rFonts w:ascii="Times New Roman" w:hAnsi="Times New Roman" w:cs="Times New Roman"/>
          <w:sz w:val="24"/>
          <w:szCs w:val="24"/>
        </w:rPr>
        <w:t>Në përfundim të vlerësimit të kandidatëve, Njësia e Menaxhimit të Burimeve Njerëzore e Bashkisë Pogradec do të shpallë fituesin në faqen zyrtare dhe në portalin “Shërbimi Kombëtar i Punësimit”. Të gjithë kandidatët pjesëmarrës në këtë procedurë do të njoftohen individualisht në mënyrë elektronike nga NJMBNJ, për rezultatet (nëpërmjet adresës së e-mail).</w:t>
      </w:r>
    </w:p>
    <w:p w:rsidR="008250B7" w:rsidRDefault="008250B7" w:rsidP="00F50C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250B7" w:rsidRPr="00F50CE3" w:rsidRDefault="008250B7" w:rsidP="00F50C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36D10" w:rsidTr="007476D2">
        <w:trPr>
          <w:trHeight w:val="1682"/>
        </w:trPr>
        <w:tc>
          <w:tcPr>
            <w:tcW w:w="9576" w:type="dxa"/>
          </w:tcPr>
          <w:p w:rsidR="00836D10" w:rsidRDefault="00836D10" w:rsidP="007476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10" w:rsidRPr="00E00038" w:rsidRDefault="007B73B3" w:rsidP="007476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 këtë proc</w:t>
            </w:r>
            <w:r w:rsidR="00836D10" w:rsidRPr="00E00038">
              <w:rPr>
                <w:rFonts w:ascii="Times New Roman" w:hAnsi="Times New Roman" w:cs="Times New Roman"/>
                <w:sz w:val="24"/>
                <w:szCs w:val="24"/>
              </w:rPr>
              <w:t xml:space="preserve">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lire si dhe kandidatë të tjerë nga jashtë shërbimit civil. </w:t>
            </w:r>
          </w:p>
        </w:tc>
      </w:tr>
    </w:tbl>
    <w:p w:rsidR="00836D10" w:rsidRDefault="00836D10" w:rsidP="00836D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36D10" w:rsidRPr="00223240" w:rsidRDefault="00836D10" w:rsidP="00836D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 xml:space="preserve">2.1 KUSHTET QË DUHET TË PLOTËSOJË KANDIDATI NË PROCEDURËN E </w:t>
      </w:r>
      <w:r w:rsidR="00395B92">
        <w:rPr>
          <w:rFonts w:ascii="Times New Roman" w:hAnsi="Times New Roman" w:cs="Times New Roman"/>
          <w:b/>
          <w:sz w:val="24"/>
          <w:szCs w:val="24"/>
        </w:rPr>
        <w:t xml:space="preserve">PRANIMIT NË SHËRBIMIN CIVIL </w:t>
      </w:r>
      <w:r w:rsidRPr="00223240">
        <w:rPr>
          <w:rFonts w:ascii="Times New Roman" w:hAnsi="Times New Roman" w:cs="Times New Roman"/>
          <w:b/>
          <w:sz w:val="24"/>
          <w:szCs w:val="24"/>
        </w:rPr>
        <w:t>DHE KRITERET E VEÇANTA</w:t>
      </w:r>
    </w:p>
    <w:p w:rsidR="00836D10" w:rsidRPr="00E00038" w:rsidRDefault="00836D10" w:rsidP="00836D1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038">
        <w:rPr>
          <w:rFonts w:ascii="Times New Roman" w:hAnsi="Times New Roman" w:cs="Times New Roman"/>
          <w:b/>
          <w:sz w:val="24"/>
          <w:szCs w:val="24"/>
        </w:rPr>
        <w:t xml:space="preserve"> Kushtet që duhet të plotësojë kandidati në procedurën e ngritjes në detyrë janë: </w:t>
      </w:r>
    </w:p>
    <w:p w:rsidR="00836D10" w:rsidRPr="00861382" w:rsidRDefault="00836D10" w:rsidP="0083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a</w:t>
      </w:r>
      <w:r w:rsidRPr="00861382">
        <w:rPr>
          <w:rFonts w:ascii="Times New Roman" w:hAnsi="Times New Roman" w:cs="Times New Roman"/>
          <w:sz w:val="24"/>
          <w:szCs w:val="24"/>
        </w:rPr>
        <w:t>- Të jetë nëpunës civil i konfirmuar, brenda ka</w:t>
      </w:r>
      <w:r>
        <w:rPr>
          <w:rFonts w:ascii="Times New Roman" w:hAnsi="Times New Roman" w:cs="Times New Roman"/>
          <w:sz w:val="24"/>
          <w:szCs w:val="24"/>
        </w:rPr>
        <w:t xml:space="preserve">tegorisë </w:t>
      </w:r>
      <w:r>
        <w:t>IV-b;</w:t>
      </w:r>
    </w:p>
    <w:p w:rsidR="00836D10" w:rsidRDefault="00836D10" w:rsidP="0083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b</w:t>
      </w:r>
      <w:r w:rsidRPr="00861382">
        <w:rPr>
          <w:rFonts w:ascii="Times New Roman" w:hAnsi="Times New Roman" w:cs="Times New Roman"/>
          <w:sz w:val="24"/>
          <w:szCs w:val="24"/>
        </w:rPr>
        <w:t xml:space="preserve">- Të mos ketë masë disiplinore në fuqi; </w:t>
      </w:r>
    </w:p>
    <w:p w:rsidR="00A85A4D" w:rsidRDefault="00836D10" w:rsidP="00A8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c</w:t>
      </w:r>
      <w:r w:rsidRPr="00861382">
        <w:rPr>
          <w:rFonts w:ascii="Times New Roman" w:hAnsi="Times New Roman" w:cs="Times New Roman"/>
          <w:sz w:val="24"/>
          <w:szCs w:val="24"/>
        </w:rPr>
        <w:t>- Të ketë të paktën vlerësimin e fundit “mirë” apo “shumë mirë”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B92" w:rsidRDefault="00395B92" w:rsidP="00A8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D10" w:rsidRPr="00A85A4D" w:rsidRDefault="00836D10" w:rsidP="00A8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38">
        <w:rPr>
          <w:rFonts w:ascii="Times New Roman" w:hAnsi="Times New Roman" w:cs="Times New Roman"/>
          <w:b/>
          <w:sz w:val="24"/>
          <w:szCs w:val="24"/>
        </w:rPr>
        <w:t>Kandidatët duhet të plotësojnë kriteret e veçanta si vijon:</w:t>
      </w:r>
    </w:p>
    <w:p w:rsidR="00562301" w:rsidRPr="00562301" w:rsidRDefault="00562301" w:rsidP="00562301">
      <w:pPr>
        <w:pStyle w:val="ListParagraph"/>
        <w:numPr>
          <w:ilvl w:val="0"/>
          <w:numId w:val="4"/>
        </w:num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Të zotërojnë diplomë të nivelit “Master </w:t>
      </w:r>
      <w:proofErr w:type="gramStart"/>
      <w:r w:rsidRPr="00562301">
        <w:rPr>
          <w:rFonts w:ascii="Times New Roman" w:hAnsi="Times New Roman" w:cs="Times New Roman"/>
          <w:sz w:val="24"/>
          <w:szCs w:val="24"/>
        </w:rPr>
        <w:t>Profesional ”në</w:t>
      </w:r>
      <w:proofErr w:type="gramEnd"/>
      <w:r w:rsidRPr="00562301">
        <w:rPr>
          <w:rFonts w:ascii="Times New Roman" w:hAnsi="Times New Roman" w:cs="Times New Roman"/>
          <w:sz w:val="24"/>
          <w:szCs w:val="24"/>
        </w:rPr>
        <w:t xml:space="preserve"> Shkenca Shoqerore/Shkenca të komunikimit/Gjuhë të huaj, edhe diploma e nivelit “Bachelor” duhet të jetë në të njëjtën fushë.(Diplomat të cilat janë marrë jashtë vendit, duhet të jenë të njohura paraprakisht pranë institucionit përgjegjës për njehsimin e diplomave sipas legjislacionit në fuqi).</w:t>
      </w:r>
    </w:p>
    <w:p w:rsidR="00562301" w:rsidRPr="00562301" w:rsidRDefault="00562301" w:rsidP="00562301">
      <w:pPr>
        <w:pStyle w:val="ListParagraph"/>
        <w:numPr>
          <w:ilvl w:val="0"/>
          <w:numId w:val="4"/>
        </w:num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301">
        <w:rPr>
          <w:rFonts w:ascii="Times New Roman" w:hAnsi="Times New Roman" w:cs="Times New Roman"/>
          <w:sz w:val="24"/>
          <w:szCs w:val="24"/>
        </w:rPr>
        <w:t xml:space="preserve"> Të kenë eksperiencë pune jo më pak se një vit, në administratën shtetërore dhe/ose institucione të pavarura dhe/ose institucionet e Qeverisjes Vendore </w:t>
      </w:r>
    </w:p>
    <w:p w:rsidR="00562301" w:rsidRPr="00562301" w:rsidRDefault="00562301" w:rsidP="00562301">
      <w:pPr>
        <w:pStyle w:val="ListParagraph"/>
        <w:numPr>
          <w:ilvl w:val="0"/>
          <w:numId w:val="4"/>
        </w:num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Të kenë aftësi të mira komunikuese dhe të punës në grupe. </w:t>
      </w:r>
    </w:p>
    <w:p w:rsidR="00562301" w:rsidRPr="00F50CE3" w:rsidRDefault="00562301" w:rsidP="00F50CE3">
      <w:pPr>
        <w:pStyle w:val="ListParagraph"/>
        <w:numPr>
          <w:ilvl w:val="0"/>
          <w:numId w:val="4"/>
        </w:num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Të zotërojnë shumë mirë gjuhën angleze</w:t>
      </w:r>
      <w:r w:rsidR="007C7547">
        <w:rPr>
          <w:rFonts w:ascii="Times New Roman" w:hAnsi="Times New Roman" w:cs="Times New Roman"/>
          <w:sz w:val="24"/>
          <w:szCs w:val="24"/>
        </w:rPr>
        <w:t>.</w:t>
      </w:r>
    </w:p>
    <w:p w:rsidR="00836D10" w:rsidRPr="00562301" w:rsidRDefault="00836D10" w:rsidP="0056230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01">
        <w:rPr>
          <w:rFonts w:ascii="Times New Roman" w:hAnsi="Times New Roman" w:cs="Times New Roman"/>
          <w:b/>
          <w:sz w:val="24"/>
          <w:szCs w:val="24"/>
        </w:rPr>
        <w:t xml:space="preserve">2.2 DOKUMENTACIONI, MËNYRA DHE AFATI I DORËZIMIT </w:t>
      </w:r>
    </w:p>
    <w:p w:rsidR="00836D10" w:rsidRPr="00562301" w:rsidRDefault="00836D10" w:rsidP="005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Kandidatët që aplikojnë duhet të dorëzojnë dokumentat si më poshtë:</w:t>
      </w:r>
    </w:p>
    <w:p w:rsidR="00836D10" w:rsidRPr="00562301" w:rsidRDefault="00836D10" w:rsidP="005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a - Jetëshkrim i plotësuar në përputhje me formatin europian; </w:t>
      </w:r>
    </w:p>
    <w:p w:rsidR="00836D10" w:rsidRPr="00562301" w:rsidRDefault="00836D10" w:rsidP="005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b -Fotokopje të diplomës (përfshirë edhe diplomën Bachelor). Për diplomat e marra jashtë Republikës së Shqipërisë të përcillet njehsimi nga Ministria e Arsimit dhe e Sportit;</w:t>
      </w:r>
    </w:p>
    <w:p w:rsidR="00836D10" w:rsidRPr="00562301" w:rsidRDefault="00836D10" w:rsidP="005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c - Fotokopje të librezës së punës (të gjitha faqet që vërtetojnë eksperiencën në punë);</w:t>
      </w:r>
    </w:p>
    <w:p w:rsidR="00836D10" w:rsidRPr="00562301" w:rsidRDefault="00836D10" w:rsidP="005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d -Fotokopje të letërnjoftimit (ID);</w:t>
      </w:r>
    </w:p>
    <w:p w:rsidR="00836D10" w:rsidRPr="00562301" w:rsidRDefault="00836D10" w:rsidP="005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e - Vërtetim të gjendjes shëndetësore;</w:t>
      </w:r>
    </w:p>
    <w:p w:rsidR="00836D10" w:rsidRPr="00562301" w:rsidRDefault="00836D10" w:rsidP="005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f - Vetëdeklarim të gjendjes gjyqësore;</w:t>
      </w:r>
    </w:p>
    <w:p w:rsidR="00836D10" w:rsidRPr="00562301" w:rsidRDefault="00836D10" w:rsidP="005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g - Vlerësimin e fundit nga eprori direkt; </w:t>
      </w:r>
    </w:p>
    <w:p w:rsidR="00836D10" w:rsidRPr="00562301" w:rsidRDefault="00836D10" w:rsidP="005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h - Vërtetim nga institucioni që nuk ka masë disiplinore në fuqi;</w:t>
      </w:r>
    </w:p>
    <w:p w:rsidR="00562301" w:rsidRPr="00562301" w:rsidRDefault="00836D10" w:rsidP="005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i -Çdo dokumentacion tjetër që vërteton trajnimet, kualifikimet, arsimin shtesë, vlerësimet pozitive apo të tjera të përmendura në jetëshkrimin tuaj;</w:t>
      </w:r>
    </w:p>
    <w:p w:rsidR="00836D10" w:rsidRPr="00836D10" w:rsidRDefault="00836D10" w:rsidP="00562301">
      <w:r w:rsidRPr="00562301">
        <w:rPr>
          <w:rFonts w:ascii="Times New Roman" w:hAnsi="Times New Roman" w:cs="Times New Roman"/>
          <w:sz w:val="24"/>
          <w:szCs w:val="24"/>
        </w:rPr>
        <w:lastRenderedPageBreak/>
        <w:t>Aplikimi dhe dorëzimi i të gjitha dokumenteve të cituara më sipër, do të bëhet dorazi pranë sportelit të informacionit ne Bashkinë Pogradec ose të dërguara me rrugë postare</w:t>
      </w:r>
    </w:p>
    <w:p w:rsidR="00836D10" w:rsidRPr="00836D10" w:rsidRDefault="00836D10" w:rsidP="00836D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2.3 REZULTATET PËR FAZËN E VERIFIKIMIT PARAPRAK </w:t>
      </w:r>
    </w:p>
    <w:p w:rsidR="00562301" w:rsidRDefault="00836D10" w:rsidP="00836D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>Në datën</w:t>
      </w:r>
      <w:r w:rsidR="007B73B3">
        <w:rPr>
          <w:rFonts w:ascii="Times New Roman" w:hAnsi="Times New Roman" w:cs="Times New Roman"/>
          <w:sz w:val="24"/>
          <w:szCs w:val="24"/>
        </w:rPr>
        <w:t xml:space="preserve"> </w:t>
      </w:r>
      <w:r w:rsidR="00A4663A">
        <w:rPr>
          <w:rFonts w:ascii="Times New Roman" w:hAnsi="Times New Roman" w:cs="Times New Roman"/>
          <w:b/>
          <w:sz w:val="24"/>
          <w:szCs w:val="24"/>
        </w:rPr>
        <w:t>05.01.2023</w:t>
      </w:r>
      <w:r w:rsidRPr="007B73B3">
        <w:rPr>
          <w:rFonts w:ascii="Times New Roman" w:hAnsi="Times New Roman" w:cs="Times New Roman"/>
          <w:b/>
          <w:sz w:val="24"/>
          <w:szCs w:val="24"/>
        </w:rPr>
        <w:t>,</w:t>
      </w:r>
      <w:r w:rsidRPr="00836D10">
        <w:rPr>
          <w:rFonts w:ascii="Times New Roman" w:hAnsi="Times New Roman" w:cs="Times New Roman"/>
          <w:sz w:val="24"/>
          <w:szCs w:val="24"/>
        </w:rPr>
        <w:t xml:space="preserve"> Njësia e Menaxhimit të burimeve Njerëzore do të shpallë në faqen zyrtare të internetit dhe në portalin “Shërbimi Kombëtar i Punësimit”, listën e kandidatëve që plotësojnë kushtet dhe kërkesat e posaçme për procedurën e ngritjes në detyrë si dhe datën, vendin dhe orën e saktë ku do të zhvillohet testimi me shkrim dhe intervista. </w:t>
      </w:r>
    </w:p>
    <w:p w:rsidR="00836D10" w:rsidRPr="00836D10" w:rsidRDefault="00836D10" w:rsidP="00836D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836D10" w:rsidRPr="00836D10" w:rsidRDefault="00836D10" w:rsidP="00836D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Kandidatët gjatë intervistës së strukturuar me gojë do të vlerësohen në lidhje me: </w:t>
      </w:r>
    </w:p>
    <w:p w:rsidR="00836D10" w:rsidRPr="00F50CE3" w:rsidRDefault="00836D10" w:rsidP="00F50CE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E3">
        <w:rPr>
          <w:rFonts w:ascii="Times New Roman" w:hAnsi="Times New Roman" w:cs="Times New Roman"/>
          <w:sz w:val="24"/>
          <w:szCs w:val="24"/>
        </w:rPr>
        <w:t>Njohuritë, aftësitë, kompetencën në lidhje me përshkrimin e pozicionit të punës;</w:t>
      </w:r>
    </w:p>
    <w:p w:rsidR="00836D10" w:rsidRPr="00F50CE3" w:rsidRDefault="00836D10" w:rsidP="00F50CE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E3">
        <w:rPr>
          <w:rFonts w:ascii="Times New Roman" w:hAnsi="Times New Roman" w:cs="Times New Roman"/>
          <w:sz w:val="24"/>
          <w:szCs w:val="24"/>
        </w:rPr>
        <w:t>Eksperiencën e tyre të mëparshme;</w:t>
      </w:r>
    </w:p>
    <w:p w:rsidR="00836D10" w:rsidRPr="00F50CE3" w:rsidRDefault="00836D10" w:rsidP="00F50CE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E3">
        <w:rPr>
          <w:rFonts w:ascii="Times New Roman" w:hAnsi="Times New Roman" w:cs="Times New Roman"/>
          <w:sz w:val="24"/>
          <w:szCs w:val="24"/>
        </w:rPr>
        <w:t>Motivimin, aspiratat dhe pritshmëritë e tyre për karrierën.</w:t>
      </w:r>
      <w:r w:rsidRPr="00F50CE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2.5 MËNYRA E VLERËSIMIT TË KANDIDATËVE</w:t>
      </w:r>
    </w:p>
    <w:p w:rsidR="007B73B3" w:rsidRDefault="00836D10" w:rsidP="00836D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2.6 DATA E DALJES SË REZULTATEVE TË KONKURIMIT DHE MËNYRA E KOMUNIKIMIT</w:t>
      </w:r>
      <w:r w:rsidRPr="00285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10" w:rsidRPr="00141CAD" w:rsidRDefault="00836D10" w:rsidP="00836D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D5">
        <w:rPr>
          <w:rFonts w:ascii="Times New Roman" w:hAnsi="Times New Roman" w:cs="Times New Roman"/>
          <w:sz w:val="24"/>
          <w:szCs w:val="24"/>
        </w:rPr>
        <w:t>Në përfundim të vlerësimit të kandidatëve, NJMBNJ do të njoftojë ata individualisht në mënyrë elektronike për rezultatet (nëpërmjet adresës së e-mail) dhe do të shpallë fituesin në faqen zyrtare dhe në portalin “Shërbimi Kombëtar i Punësimit”. Të gjithë kandidatët pjesëmarrës në këtë procedurë do të njoftohen individualisht në mënyrë elektronike nga Njësia e Menaxhimit të Burimeve Njerëzore, për rezultatet nëpërmjet (adresës së e-mail). Brenda tre ditëve kalendarike nga njoftimi individët kanë të drejtë të paraqesin ankesa me shkrim pranë zyrës së Burimeve Njer</w:t>
      </w:r>
      <w:r>
        <w:rPr>
          <w:rFonts w:ascii="Times New Roman" w:hAnsi="Times New Roman" w:cs="Times New Roman"/>
          <w:sz w:val="24"/>
          <w:szCs w:val="24"/>
        </w:rPr>
        <w:t>ëzore.</w:t>
      </w:r>
      <w:r w:rsidRPr="0070165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36D10" w:rsidRPr="00836D10" w:rsidRDefault="00836D10" w:rsidP="00836D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10" w:rsidRPr="00A85A4D" w:rsidRDefault="00A85A4D" w:rsidP="007B73B3">
      <w:pPr>
        <w:pStyle w:val="NoSpacing"/>
        <w:tabs>
          <w:tab w:val="left" w:pos="0"/>
          <w:tab w:val="left" w:pos="3600"/>
          <w:tab w:val="center" w:pos="4680"/>
        </w:tabs>
        <w:spacing w:line="36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t xml:space="preserve">                          </w:t>
      </w:r>
      <w:r w:rsidRPr="00A85A4D">
        <w:rPr>
          <w:rFonts w:ascii="Times New Roman" w:hAnsi="Times New Roman"/>
          <w:b/>
          <w:sz w:val="24"/>
          <w:szCs w:val="24"/>
        </w:rPr>
        <w:t xml:space="preserve">PËRGJEGJËS I MENAXHIMIT TË BURIMEVE NJERËZORE </w:t>
      </w:r>
      <w:r w:rsidR="007B73B3" w:rsidRPr="00A85A4D">
        <w:rPr>
          <w:rFonts w:ascii="Times New Roman" w:hAnsi="Times New Roman"/>
          <w:b/>
          <w:sz w:val="24"/>
          <w:szCs w:val="24"/>
        </w:rPr>
        <w:tab/>
      </w:r>
      <w:r w:rsidR="00836D10" w:rsidRPr="00A85A4D">
        <w:rPr>
          <w:rFonts w:ascii="Times New Roman" w:hAnsi="Times New Roman"/>
          <w:b/>
          <w:sz w:val="24"/>
          <w:szCs w:val="24"/>
        </w:rPr>
        <w:tab/>
      </w:r>
    </w:p>
    <w:p w:rsidR="00836D10" w:rsidRPr="00A85A4D" w:rsidRDefault="00A85A4D" w:rsidP="00A85A4D">
      <w:pPr>
        <w:pStyle w:val="ListParagraph"/>
        <w:tabs>
          <w:tab w:val="left" w:pos="36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85A4D">
        <w:rPr>
          <w:rFonts w:ascii="Times New Roman" w:hAnsi="Times New Roman" w:cs="Times New Roman"/>
          <w:b/>
          <w:sz w:val="24"/>
          <w:szCs w:val="24"/>
        </w:rPr>
        <w:t xml:space="preserve">Laura ELMASLLARI </w:t>
      </w:r>
    </w:p>
    <w:sectPr w:rsidR="00836D10" w:rsidRPr="00A85A4D" w:rsidSect="008250B7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BF" w:rsidRDefault="009B2ABF" w:rsidP="000D36B9">
      <w:pPr>
        <w:spacing w:after="0" w:line="240" w:lineRule="auto"/>
      </w:pPr>
      <w:r>
        <w:separator/>
      </w:r>
    </w:p>
  </w:endnote>
  <w:endnote w:type="continuationSeparator" w:id="0">
    <w:p w:rsidR="009B2ABF" w:rsidRDefault="009B2ABF" w:rsidP="000D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B7" w:rsidRDefault="008250B7" w:rsidP="008250B7">
    <w:pPr>
      <w:shd w:val="clear" w:color="auto" w:fill="FFFFFF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</w:p>
  <w:p w:rsidR="008250B7" w:rsidRDefault="008250B7" w:rsidP="008250B7">
    <w:pPr>
      <w:shd w:val="clear" w:color="auto" w:fill="FFFFFF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</w:p>
  <w:p w:rsidR="008250B7" w:rsidRPr="003463FF" w:rsidRDefault="008250B7" w:rsidP="008250B7">
    <w:pPr>
      <w:shd w:val="clear" w:color="auto" w:fill="FFFFFF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3463FF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hyperlink r:id="rId1" w:history="1">
      <w:r w:rsidRPr="003463FF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8250B7" w:rsidRDefault="00825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BF" w:rsidRDefault="009B2ABF" w:rsidP="000D36B9">
      <w:pPr>
        <w:spacing w:after="0" w:line="240" w:lineRule="auto"/>
      </w:pPr>
      <w:r>
        <w:separator/>
      </w:r>
    </w:p>
  </w:footnote>
  <w:footnote w:type="continuationSeparator" w:id="0">
    <w:p w:rsidR="009B2ABF" w:rsidRDefault="009B2ABF" w:rsidP="000D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B9" w:rsidRDefault="000D36B9">
    <w:pPr>
      <w:pStyle w:val="Header"/>
    </w:pPr>
  </w:p>
  <w:p w:rsidR="000D36B9" w:rsidRDefault="000D36B9">
    <w:pPr>
      <w:pStyle w:val="Header"/>
    </w:pPr>
  </w:p>
  <w:p w:rsidR="001A27F5" w:rsidRPr="00056F4D" w:rsidRDefault="00096D73" w:rsidP="001A27F5">
    <w:pPr>
      <w:tabs>
        <w:tab w:val="left" w:pos="980"/>
      </w:tabs>
      <w:spacing w:after="0"/>
      <w:jc w:val="both"/>
      <w:rPr>
        <w:rFonts w:ascii="Times New Roman" w:eastAsia="Arial Unicode MS" w:hAnsi="Times New Roman"/>
        <w:sz w:val="24"/>
        <w:szCs w:val="24"/>
        <w:lang w:val="it-IT"/>
      </w:rPr>
    </w:pPr>
    <w:r>
      <w:t xml:space="preserve">   </w:t>
    </w:r>
    <w:r w:rsidR="001A27F5"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47625</wp:posOffset>
          </wp:positionV>
          <wp:extent cx="876300" cy="1076325"/>
          <wp:effectExtent l="19050" t="0" r="0" b="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27F5" w:rsidRPr="00056F4D">
      <w:rPr>
        <w:rFonts w:ascii="Times New Roman" w:eastAsia="Arial Unicode MS" w:hAnsi="Times New Roman"/>
        <w:sz w:val="24"/>
        <w:szCs w:val="24"/>
        <w:lang w:val="it-IT"/>
      </w:rPr>
      <w:t xml:space="preserve">                      ______________________ </w:t>
    </w:r>
    <w:r w:rsidR="001A27F5"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15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27F5" w:rsidRPr="00056F4D">
      <w:rPr>
        <w:rFonts w:ascii="Times New Roman" w:eastAsia="Arial Unicode MS" w:hAnsi="Times New Roman"/>
        <w:sz w:val="24"/>
        <w:szCs w:val="24"/>
        <w:lang w:val="it-IT"/>
      </w:rPr>
      <w:t xml:space="preserve"> ________________________        </w:t>
    </w:r>
    <w:r w:rsidR="001A27F5" w:rsidRPr="00056F4D">
      <w:rPr>
        <w:rFonts w:ascii="Times New Roman" w:eastAsia="Arial Unicode MS" w:hAnsi="Times New Roman"/>
        <w:sz w:val="24"/>
        <w:szCs w:val="24"/>
        <w:lang w:val="it-IT"/>
      </w:rPr>
      <w:tab/>
    </w:r>
    <w:r w:rsidR="001A27F5" w:rsidRPr="00056F4D">
      <w:rPr>
        <w:rFonts w:ascii="Times New Roman" w:eastAsia="Times New Roman" w:hAnsi="Times New Roman"/>
        <w:sz w:val="24"/>
        <w:lang w:val="it-IT"/>
      </w:rPr>
      <w:tab/>
    </w:r>
    <w:r w:rsidR="001A27F5" w:rsidRPr="00056F4D">
      <w:rPr>
        <w:rFonts w:ascii="Times New Roman" w:hAnsi="Times New Roman"/>
        <w:b/>
        <w:szCs w:val="24"/>
        <w:lang w:val="it-IT"/>
      </w:rPr>
      <w:t xml:space="preserve">              </w:t>
    </w:r>
    <w:r w:rsidR="001A27F5" w:rsidRPr="00056F4D">
      <w:rPr>
        <w:rFonts w:ascii="Times New Roman" w:hAnsi="Times New Roman"/>
        <w:b/>
        <w:sz w:val="24"/>
        <w:lang w:val="it-IT" w:eastAsia="ja-JP"/>
      </w:rPr>
      <w:t xml:space="preserve">                            </w:t>
    </w:r>
  </w:p>
  <w:p w:rsidR="001A27F5" w:rsidRPr="00056F4D" w:rsidRDefault="001A27F5" w:rsidP="001A27F5">
    <w:pPr>
      <w:spacing w:after="0"/>
      <w:jc w:val="center"/>
      <w:rPr>
        <w:rFonts w:ascii="Times New Roman" w:hAnsi="Times New Roman"/>
        <w:b/>
        <w:szCs w:val="24"/>
        <w:lang w:val="it-IT"/>
      </w:rPr>
    </w:pPr>
    <w:r w:rsidRPr="00056F4D">
      <w:rPr>
        <w:rFonts w:ascii="Times New Roman" w:hAnsi="Times New Roman"/>
        <w:b/>
        <w:szCs w:val="24"/>
        <w:lang w:val="it-IT"/>
      </w:rPr>
      <w:t xml:space="preserve"> R E P U B L I K A   E   S H Q I P Ë R I S Ë</w:t>
    </w:r>
  </w:p>
  <w:p w:rsidR="000D36B9" w:rsidRPr="001A27F5" w:rsidRDefault="001A27F5" w:rsidP="001A27F5">
    <w:pPr>
      <w:spacing w:after="0"/>
      <w:jc w:val="center"/>
      <w:rPr>
        <w:rFonts w:ascii="Times New Roman" w:hAnsi="Times New Roman"/>
        <w:b/>
        <w:sz w:val="28"/>
        <w:szCs w:val="24"/>
        <w:lang w:val="it-IT"/>
      </w:rPr>
    </w:pPr>
    <w:r w:rsidRPr="00056F4D">
      <w:rPr>
        <w:rFonts w:ascii="Times New Roman" w:hAnsi="Times New Roman"/>
        <w:b/>
        <w:sz w:val="28"/>
        <w:szCs w:val="24"/>
        <w:lang w:val="it-IT"/>
      </w:rPr>
      <w:t xml:space="preserve">  BASHKIA POGRADEC</w:t>
    </w:r>
    <w:r w:rsidR="00096D73"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5741"/>
    <w:multiLevelType w:val="hybridMultilevel"/>
    <w:tmpl w:val="B6521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06D36"/>
    <w:multiLevelType w:val="hybridMultilevel"/>
    <w:tmpl w:val="0DAE4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87073"/>
    <w:multiLevelType w:val="hybridMultilevel"/>
    <w:tmpl w:val="6B7C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102A8"/>
    <w:multiLevelType w:val="hybridMultilevel"/>
    <w:tmpl w:val="FB2C81C6"/>
    <w:lvl w:ilvl="0" w:tplc="385A64E4">
      <w:start w:val="1"/>
      <w:numFmt w:val="lowerRoman"/>
      <w:lvlText w:val="%1-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E983091"/>
    <w:multiLevelType w:val="hybridMultilevel"/>
    <w:tmpl w:val="4F94340C"/>
    <w:lvl w:ilvl="0" w:tplc="F69454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D7875"/>
    <w:multiLevelType w:val="hybridMultilevel"/>
    <w:tmpl w:val="093A40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8DA2528"/>
    <w:multiLevelType w:val="hybridMultilevel"/>
    <w:tmpl w:val="FDE02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0D0E85"/>
    <w:multiLevelType w:val="hybridMultilevel"/>
    <w:tmpl w:val="69CE96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96957CC"/>
    <w:multiLevelType w:val="hybridMultilevel"/>
    <w:tmpl w:val="A5983074"/>
    <w:lvl w:ilvl="0" w:tplc="29562E8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456406"/>
    <w:multiLevelType w:val="hybridMultilevel"/>
    <w:tmpl w:val="56DED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53F1F"/>
    <w:multiLevelType w:val="hybridMultilevel"/>
    <w:tmpl w:val="8C4A541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BB64EEB"/>
    <w:multiLevelType w:val="hybridMultilevel"/>
    <w:tmpl w:val="CAE8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6B9"/>
    <w:rsid w:val="000428E6"/>
    <w:rsid w:val="00055637"/>
    <w:rsid w:val="00096D73"/>
    <w:rsid w:val="000C02AB"/>
    <w:rsid w:val="000D36B9"/>
    <w:rsid w:val="00141E44"/>
    <w:rsid w:val="001726D5"/>
    <w:rsid w:val="001A27F5"/>
    <w:rsid w:val="001C147C"/>
    <w:rsid w:val="00260B7D"/>
    <w:rsid w:val="00265A92"/>
    <w:rsid w:val="00323C16"/>
    <w:rsid w:val="0036053E"/>
    <w:rsid w:val="00395B92"/>
    <w:rsid w:val="003F456F"/>
    <w:rsid w:val="00457A35"/>
    <w:rsid w:val="004923B2"/>
    <w:rsid w:val="004E15D4"/>
    <w:rsid w:val="00530EF6"/>
    <w:rsid w:val="00562301"/>
    <w:rsid w:val="00573A2B"/>
    <w:rsid w:val="005A3CC8"/>
    <w:rsid w:val="005E2F7A"/>
    <w:rsid w:val="00654D35"/>
    <w:rsid w:val="0068242A"/>
    <w:rsid w:val="006D65EC"/>
    <w:rsid w:val="00773474"/>
    <w:rsid w:val="007A383E"/>
    <w:rsid w:val="007B3951"/>
    <w:rsid w:val="007B73B3"/>
    <w:rsid w:val="007C7547"/>
    <w:rsid w:val="008250B7"/>
    <w:rsid w:val="00836D10"/>
    <w:rsid w:val="00897DEF"/>
    <w:rsid w:val="008B28F9"/>
    <w:rsid w:val="008C4260"/>
    <w:rsid w:val="008E5FAB"/>
    <w:rsid w:val="008E61E9"/>
    <w:rsid w:val="0091794C"/>
    <w:rsid w:val="009B2ABF"/>
    <w:rsid w:val="00A17E47"/>
    <w:rsid w:val="00A4663A"/>
    <w:rsid w:val="00A75800"/>
    <w:rsid w:val="00A85A4D"/>
    <w:rsid w:val="00AD2B15"/>
    <w:rsid w:val="00B54475"/>
    <w:rsid w:val="00B90446"/>
    <w:rsid w:val="00CC702A"/>
    <w:rsid w:val="00D002F0"/>
    <w:rsid w:val="00D530CA"/>
    <w:rsid w:val="00D56217"/>
    <w:rsid w:val="00DE7626"/>
    <w:rsid w:val="00E257E8"/>
    <w:rsid w:val="00E974C6"/>
    <w:rsid w:val="00F50CE3"/>
    <w:rsid w:val="00F734A0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66CE2"/>
  <w15:docId w15:val="{810CC4F4-C8F5-45FF-AB8C-2309D76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6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B9"/>
  </w:style>
  <w:style w:type="paragraph" w:styleId="Footer">
    <w:name w:val="footer"/>
    <w:basedOn w:val="Normal"/>
    <w:link w:val="FooterChar"/>
    <w:uiPriority w:val="99"/>
    <w:semiHidden/>
    <w:unhideWhenUsed/>
    <w:rsid w:val="000D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6B9"/>
  </w:style>
  <w:style w:type="paragraph" w:styleId="BalloonText">
    <w:name w:val="Balloon Text"/>
    <w:basedOn w:val="Normal"/>
    <w:link w:val="BalloonTextChar"/>
    <w:uiPriority w:val="99"/>
    <w:semiHidden/>
    <w:unhideWhenUsed/>
    <w:rsid w:val="000D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36B9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36D10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6D10"/>
    <w:rPr>
      <w:rFonts w:ascii="Cambria" w:eastAsia="Times New Roman" w:hAnsi="Cambria" w:cs="Times New Roman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5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AF03-509E-42EC-BE76-57EB0E30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21</cp:revision>
  <cp:lastPrinted>2022-12-07T13:09:00Z</cp:lastPrinted>
  <dcterms:created xsi:type="dcterms:W3CDTF">2019-09-20T12:13:00Z</dcterms:created>
  <dcterms:modified xsi:type="dcterms:W3CDTF">2022-12-16T12:18:00Z</dcterms:modified>
</cp:coreProperties>
</file>